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2C_918/2021 vom 18. Februar 2022</w:t>
      </w:r>
    </w:p>
    <w:p>
      <w:r>
        <w:t>Bundesgericht, 2022-02-18, FR</w:t>
      </w:r>
    </w:p>
    <w:p>
      <w:r>
        <w:rPr>
          <w:b/>
        </w:rPr>
        <w:t xml:space="preserve">Quelle: </w:t>
      </w:r>
      <w:r>
        <w:t>https://mcp.opencaselaw.ch/entscheid/bger_2C_918_2021</w:t>
      </w:r>
    </w:p>
    <w:p>
      <w:r>
        <w:t>FR: TF 2C_918/2021 du 18 février 2022</w:t>
      </w:r>
    </w:p>
    <w:p>
      <w:r>
        <w:t>IT: TF 2C_918/2021 del 18 febbraio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confirmant l'imposition à titre de l'impôt sur le revenu de la plus-value réalisée par le recourant lors de l'opération litigieuse, concernant l'IFD et les ICC pour la période fiscale 2015. Il s'agit d'une cause de droit public ( art. 82 let. a LTF ). Comme aucune des exceptions prévues à l' art. 83 LTF n'est réalisée, la voie du recours en matière de droit public au sens des art. 82 ss LTF est dès lors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le recourant s'en prend clairement aux deux catégories d'impôts (cf. ATF 135 II 260 consid. 1.3.2).</w:t>
      </w:r>
    </w:p>
    <w:p>
      <w:r>
        <w:rPr>
          <w:b/>
        </w:rPr>
        <w:t>E. 1.3</w:t>
      </w:r>
    </w:p>
    <w:p>
      <w:r>
        <w:t>Pour le reste, le jugement attaqué est une décision finale ( art. 90 LTF ), rendue en dernière instance cantonale par un tribunal supérieur ( art. 86 al. 1 let . d et al. 2 LTF). Le recourant, qui est destinataire de l'arrêt attaqué, dispose d'un intérêt digne de protection à la modification de celui-ci. Partant, la qualité pour recourir doit lui être reconnue ( art. 89 al. 1 LTF ). En outre, le recours a été déposé en temps utile ( art. 100 al. 1 LTF ). Il est donc recevable.</w:t>
      </w:r>
    </w:p>
    <w:p>
      <w:r>
        <w:rPr>
          <w:b/>
        </w:rPr>
        <w:t>E. 1.4</w:t>
      </w:r>
    </w:p>
    <w:p>
      <w:r>
        <w:t>Conformément à l' art. 42 al. 1 LTF , un mémoire doit notamment indiquer les conclusions. Celles-ci doivent être interprétées à la lumière de la motivation du recours (cf. ATF 127 IV 101 consid. 1; arrêt 2C_522/2021 du 30 septembre 2021 consid. 1.5). En l'occurrence, le recourant formule des conclusions peu claires. On comprend toutefois de la motivation de son recours qu'il demande principalement la réforme de l'arrêt entrepris en ce sens que la plus-value réalisée lors de l'opération litigieuse (vente de la parcelle n° xxxx) ne soit pas soumise à l'impôt sur le revenu, subsidiairement l'annulation de l'arrêt attaqué et le renvoi de la cause à l'autorité précédente. Il convient dès lors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à l'appui de son raisonnement juridique, le recourant se plaint de manière appellatoire de l'état de fait de l'arrêt attaqué. Le recourant n'invoquant pas, ni</w:t>
      </w:r>
    </w:p>
    <w:p>
      <w:r>
        <w:t>a fortiori ne démontrant pas l'arbitraire dans l'établissement des faits, il ne sera pas tenu compte de ses critiques à ce propos. Il en va de même en tant que le recourant se plaint de ce que le Tribunal cantonal a retenu qu'il avait la volonté de mettre à profit ses connaissances acquises dans le domaine immobilier. En effet, déterminer ce qu'une personne sait ou ce dont elle est consciente relève de l'établissement des faits (cf. ATF 124 III 182 consid. 3; 123 III 165 consid. 3a; arrêt 2C_603/2021 du 8 février 2022 consid. 6.2) qui ne peut être revu librement par le Tribunal fédéral.</w:t>
      </w:r>
    </w:p>
    <w:p>
      <w:r>
        <w:t>Partant, le Tribunal fédéral statuera exclusivement sur la base des faits retenus par le Tribunal cantonal.</w:t>
      </w:r>
    </w:p>
    <w:p>
      <w:r>
        <w:t>II. Impôt fédéral direct</w:t>
      </w:r>
    </w:p>
    <w:p>
      <w:r>
        <w:rPr>
          <w:b/>
        </w:rPr>
        <w:t>E. 3</w:t>
      </w:r>
    </w:p>
    <w:p>
      <w:r>
        <w:t>Le recourant soutient que le Tribunal cantonal aurait dû retenir que la plus-value réalisée lors de l'opération litigieuse n'était pas imposable à titre de revenu, car l'immeuble aliéné faisait partie de sa fortune privée.</w:t>
      </w:r>
    </w:p>
    <w:p>
      <w:r>
        <w:rPr>
          <w:b/>
        </w:rPr>
        <w:t>E. 3.1</w:t>
      </w:r>
    </w:p>
    <w:p>
      <w:r>
        <w:t>La détermination du revenu imposable des personnes physiques en matière d'impôt fédéral direct est réglée aux art. 16 ss LIFD . L' 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w:t>
      </w:r>
    </w:p>
    <w:p>
      <w:r>
        <w:t>Reinvermögenszugangstheorie "),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 art. 18 al. 2 LIFD ). Selon l' art. 16 al. 3 LIFD ,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arrêts 2C_420/2020 du 18 mars 2021 consid. 4.1; 2C_370/2014 du 9 février 2015 consid. 6.1).</w:t>
      </w:r>
    </w:p>
    <w:p>
      <w:r>
        <w:rPr>
          <w:b/>
        </w:rPr>
        <w:t>E. 3.2</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arrêts 2C_419/2020 du 23 novembre 2020 consid. 5.3; 2C_18/2018 du 18 juin 2018 consid. 3.1; 2C_228/2015 du 7 juin 2016 consid. 6.3; 2C_1276/2012 du 24 octobre 2013 consid. 4.2 et 2C_834/2012 du 19 avril 2013 consid. 5.5).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ATF 125 II 113 consid. 5e; arrêts 2C_419/2020 du 23 novembre 2020 consid. 5.3; 2C_228/2015 du 7 juin 2016 consid. 6.3; 2C_818/2012 du 21 mars 2013 consid. 6.1 et 2C_786/2012 du 1</w:t>
      </w:r>
    </w:p>
    <w:p>
      <w:r>
        <w:t>er mars 2013 consid. 3.1).</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 consid. 6a; arrêts 2C_419/2020 du 23 novembre 2020 consid. 5.3; 2C_18/2018 du 18 juin 2018 consid. 3.1; 2C_228/2015 du 7 juin 2016 consid. 6.3; 2C_42/2015 du 10 septembre 2015 consid. 2.2; 2C_929/2014 du 10 août 2015 consid. 4.1). Chacun de ces indices peut conduire, en concours avec les autres voire même - exceptionnellement - isolément s'il revêt une intensité particulière, à la reconnaissance d'une activité lucrative indépendante (cf. arrêts 2C_419/2020 du 23 novembre 2020 consid. 5.3; 2C_423/2019 du 25 novembre 2019 consid. 4.1; 2C_228/2015 du 7 juin 2016 consid. 6.3). En tout état, les circonstances concrètes du cas sont déterminantes, telles qu'elles se présentent au moment de l'aliénation (cf. ATF 125 II 113 précité, consid. 6a; arrêts 2C_419/2020 du 23 novembre 2020 consid. 5.3; 2C_423/2019 du 25 novembre 2019 consid. 4.1 et 2C_1007/2016 du 28 mars 2017 consid. 3.5).</w:t>
      </w:r>
    </w:p>
    <w:p>
      <w:r>
        <w:rPr>
          <w:b/>
        </w:rPr>
        <w:t>E. 3.3</w:t>
      </w:r>
    </w:p>
    <w:p>
      <w:r>
        <w:t>Le recourant soutient que les conditions jurisprudentielles pour considérer que la vente de son immeuble relevait de l'exercice d'une activité lucrative indépendante ne sont pas remplies en l'espèce. Il fait en particulier valoir ne pas disposer de compétences particulières dans le domaine de l'immobilier, l'absence de caractère systématique et planifié de ses opérations immobilières, ainsi que la durée de possession de l'immeuble relativement longue.</w:t>
      </w:r>
    </w:p>
    <w:p>
      <w:r>
        <w:rPr>
          <w:b/>
        </w:rPr>
        <w:t>E. 3.4</w:t>
      </w:r>
    </w:p>
    <w:p>
      <w:r>
        <w:t>Contrairement à l'opinion du contribuable, les circonstances de fait retenues par le Tribunal cantonal, qui lient le Tribunal fédéral (cf. art. 105 al. 2 LTF et</w:t>
      </w:r>
    </w:p>
    <w:p>
      <w:r>
        <w:t>supra consid. 2.2 et 2.3), démontrent qu'en qualifiant la plus-value obtenue lors de la vente de son immeuble de revenu provenant de l'exercice d'une activité lucrative indépendante, les juges cantonaux n'ont pas violé la LIFD.</w:t>
      </w:r>
    </w:p>
    <w:p>
      <w:r>
        <w:rPr>
          <w:b/>
        </w:rPr>
        <w:t>E. 3.5</w:t>
      </w:r>
    </w:p>
    <w:p>
      <w:r>
        <w:t>Selon les faits constatés dans l'arrêt attaqué, entre 1998 et 2015, le recourant a procédé à plusieurs transactions immobilières significatives et a montré une volonté de réinvestir les gains réalisés dans de nouveaux projets immobiliers. Quoi qu'en dise le recourant, il a ainsi exercé une activité immobilière suffisamment intense pour conférer un caractère systématique et planifié à ses opérations. Concernant les capacités professionnelles de l'intéressé et ses connaissances spécialisées en matière d'immeubles, celles-ci sont attestées, dans une certaine mesure par sa formation de plâtrier-peintre, mais surtout par son activité d'administrateur président d'une société spécialisée dans la promotion immobilière. Le contribuable dispose ainsi de connaissances particulières et d'un réseau qu'il a pu mettre à profit dans le cadre de la gestion de ses immeubles. En outre, le recourant a acquis l'immeuble objet de l'opération litigieuse à hauteur de 95% par des fonds étrangers, étant précisé qu'à la même période, soit en 2005, le recourant a acquis un autre immeuble également à Yverdon-les-Bains financé à 100% par des fonds étrangers. Dans ce contexte, le seul fait que le recourant ait gardé l'immeuble dix ans en sa possession, soit une durée relativement longue (cf. arrêt 2C_819/2011 du 20 avril 2012 consid. 3.3) ne suffit pas à contrebalancer les autres éléments ressortant de l'arrêt attaqué permettant de considérer que le contribuable a dépassé le cadre de l'administration courante de sa fortune privée.</w:t>
      </w:r>
    </w:p>
    <w:p>
      <w:r>
        <w:rPr>
          <w:b/>
        </w:rPr>
        <w:t>E. 3.6</w:t>
      </w:r>
    </w:p>
    <w:p>
      <w:r>
        <w:t>L'arrêt 2C_455/2011 du 5 avril 2012 cité par le recourant ne permet pas d'arriver à une conclusion contraire. Dans cette affaire, le Tribunal fédéral a considéré que l'autorité précédente ne pouvait pas reconnaître une activité lucrative indépendante en se fondant exclusivement sur le critère du financement par des emprunts hypothécaires, dès lors qu'il s'agissait en principe de la règle dans tout investissement immobilier. Il était donc important de savoir quel était le montant total de l'opération, quels fonds propres les recourants avaient eux-mêmes investis et quelles garanties ils avaient dû donner pour obtenir les prêts (cf. consid. 5.3 de l'arrêt précité). En l'espèce, le recourant prétend, sur la base de cet arrêt, que le Tribunal cantonal aurait dû procéder à l'analyse des garanties données pour obtenir le financement par des fonds étrangers de l'immeuble objet de l'opération litigieuse. Dans la mesure où le caractère commercial de cette transaction, qui ressort de plusieurs indices, est clair, on ne voit pas en quoi la nature des garanties serait susceptible d'influer sur le sort de la cause, ce que le recourant n'explique au demeurant pas.</w:t>
      </w:r>
    </w:p>
    <w:p>
      <w:r>
        <w:rPr>
          <w:b/>
        </w:rPr>
        <w:t>E. 3.7</w:t>
      </w:r>
    </w:p>
    <w:p>
      <w:r>
        <w:t>Quant à l'arrêt 2C_1156/2012 du 19 juillet 2013 également invoqué par le recourant, il ne lui est aussi d'aucun secours. Il ressort de cet arrêt que celui qui se lance dans une opération immobilière qu'il présente comme visant l'acquisition de son propre domicile privé ainsi que la poursuite de buts liés à la prévoyance vieillesse, et qui est financée à titre quasi exclusif par des fonds étrangers, n'est pas</w:t>
      </w:r>
    </w:p>
    <w:p>
      <w:r>
        <w:t>a priori réputé gérer sa fortune privée, mais plutôt agir dans le cadre d'une opération commerciale. Cela vaut</w:t>
      </w:r>
    </w:p>
    <w:p>
      <w:r>
        <w:t>a fortiori dans le cas d'espèce, puisque le recourant a acquis l'immeuble quasi-exclusivement par des fonds étrangers, sans avoir l'intention d'en faire son domicile ou d'investir à titre de prévoyance vieillesse.</w:t>
      </w:r>
    </w:p>
    <w:p>
      <w:r>
        <w:rPr>
          <w:b/>
        </w:rPr>
        <w:t>E. 3.8</w:t>
      </w:r>
    </w:p>
    <w:p>
      <w:r>
        <w:t>Il ressort de ce qui précède que le recours doit être rejeté s'agissant de l'impôt fédéral direct pour la période fiscale 2015.</w:t>
      </w:r>
    </w:p>
    <w:p>
      <w:r>
        <w:t>III. Impôts cantonal et communal</w:t>
      </w:r>
    </w:p>
    <w:p>
      <w:r>
        <w:rPr>
          <w:b/>
        </w:rPr>
        <w:t>E. 4</w:t>
      </w:r>
    </w:p>
    <w:p>
      <w:r>
        <w:t>La jurisprudence rendue en matière d'impôt fédéral direct au sujet de la distinction entre un bénéfice provenant de l'exercice d'une activité lucrative indépendante et un gain privé en capital est également déterminante en ce qui concerne les impôts cantonal et communal, car l' art. 8 al. 1 et 2 LHID , repris à l'art. 21 al. 2 de la loi vaudoise du 4 juillet 2000 sur les impôts directs cantonaux (LI/VD; RS/VD 642.11) correspond à l' art. 18 al. 2 LIFD (cf. arrêts 2C_228/2015 du 7 juin 2016 consid. 6.2 et 2C_455/2011 du 5 avril 2012 consid. 8). Il peut ainsi être renvoyé, au sujet des impôts cantonal et communal, à la motivation développée en matière d'impôt fédéral direct. Le recours doit par conséquent aussi être rejeté s'agissant des ICC pour la période fiscale 2015.</w:t>
      </w:r>
    </w:p>
    <w:p>
      <w:r>
        <w:t>IV. Frais et dépens</w:t>
      </w:r>
    </w:p>
    <w:p>
      <w:r>
        <w:rPr>
          <w:b/>
        </w:rPr>
        <w:t>E. 5</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