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918/2012 vom 11. Februar 2013</w:t>
      </w:r>
    </w:p>
    <w:p>
      <w:r>
        <w:t>Bundesgericht, 2013-02-11, FR</w:t>
      </w:r>
    </w:p>
    <w:p>
      <w:r>
        <w:rPr>
          <w:b/>
        </w:rPr>
        <w:t xml:space="preserve">Quelle: </w:t>
      </w:r>
      <w:r>
        <w:t>https://mcp.opencaselaw.ch/entscheid/bger_2C_918_2012</w:t>
      </w:r>
    </w:p>
    <w:p>
      <w:r>
        <w:t>FR: TF 2C 918/2012 du 11 février 2013</w:t>
      </w:r>
    </w:p>
    <w:p>
      <w:r>
        <w:t>IT: TF 2C 918/2012 del 11 febbraio 2013</w:t>
      </w:r>
    </w:p>
    <w:p>
      <w:pPr>
        <w:pStyle w:val="Heading2"/>
      </w:pPr>
      <w:r>
        <w:t>Regeste</w:t>
      </w:r>
    </w:p>
    <w:p>
      <w:r>
        <w:t>Impôts communal et cantonal 2001-2006 | Finances publiques &amp; droit fiscal</w:t>
      </w:r>
    </w:p>
    <w:p>
      <w:pPr>
        <w:pStyle w:val="Heading2"/>
      </w:pPr>
      <w:r>
        <w:t>Erwägungen</w:t>
      </w:r>
    </w:p>
    <w:p>
      <w:r>
        <w:rPr>
          <w:b/>
        </w:rPr>
        <w:t>E. 1</w:t>
      </w:r>
    </w:p>
    <w:p>
      <w:r>
        <w:t>L'arrêt attaqué constitue une décision finale ( art. 90 LTF ) rendue dans une cause de droit public par une autorité judiciaire supérieure de dernière instance cantonale qui concerne à la fois l'impôt fédéral direct et l'impôt cantonal harmonisé des périodes fiscales 2001 à 2006, ce qui est admissible du moment que l'établissement du revenu imposable d'un contribuable exerçant une activité lucrative, le rappel d'impôt et l'amende pour soustraction fiscale sont identiques (arrêt 2C_851/2011 du 15 août 2012 consid. 5 in: RF 67 2012, p. 759) pour les deux catégories d'impôts ( ATF 135 II 260 ss). Par conséquent, déposé en temps utile par la destinataire de l'arrêt attaqué, qui a un intérêt digne de protection à l'annulation ou à la modification de celui-ci, le présent recours en matière de droit public est en principe recevable en vertu des art. 82 ss LTF , 146 de la loi fédérale du 14 décembre 1990 sur l'impôt fédéral direct (LIFD; RS 642.11) et 73 al. 1 de la loi du 14 décembre 1990 sur l'harmonisation des impôts cantonaux et communaux (LHID; loi sur l'harmonisation fiscale; RS 642.14). Il est aussi conforme à la jurisprudence qui autorise le dépôt d'un seul acte de recours, lorsqu'il ressort clairement du mémoire (cf. mémoire de recours, p. 11) que la partie recourante s'en prend aux deux catégories d'impôts (cf. ATF 135 II 260 ss).</w:t>
      </w:r>
    </w:p>
    <w:p>
      <w:r>
        <w:rPr>
          <w:b/>
        </w:rPr>
        <w:t>E. 2</w:t>
      </w:r>
    </w:p>
    <w:p>
      <w:r>
        <w:t>Invoquant l' art. 97 LTF , la recourante se plaint de l'établissement inexact des faits par l'instance précédente, qui serait à cet égard tombée dans l'arbitraire en refusant de reprendre à son compte les constatations résultant du jugement du Tribunal de police dans la cause P/19758/2004 qui reconnaissait que les sommes perçues ne constituaient pas un revenu pour la recourante.</w:t>
      </w:r>
    </w:p>
    <w:p>
      <w:r>
        <w:rPr>
          <w:b/>
        </w:rPr>
        <w:t>E. 2.1</w:t>
      </w:r>
    </w:p>
    <w:p>
      <w:r>
        <w:t>Le Tribunal fédéral se fonde sur les faits constatés par l'autorité précédente (cf. art. 105 al. 1 LTF ), à moins que ceux-ci n'aient été établis de façon manifestement inexacte - notion qui correspond à celle d'arbitraire (cf. ATF 138 I 49 consid. 7.1 p. 51; 136 III 552 consid. 4.2 p. 560) - ou en violation du droit au sens de l' art. 95 LTF (cf. art. 105 al. 2 LTF ), et pour autant que la correction du vice soit susceptible d'influer sur le sort de la cause (cf. art. 97 al. 1 LTF ). Lorsque la partie recourante - comme c'est le cas en l'espèce - s'en prend à l'appréciation des preuves et à l'établissement des faits,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136 III 552 consid. 4.2 p. 560; 134 V 53 consid. 4.3 p. 62; 129 I 8 consid. 2.1 p. 9). Le Tribunal fédéral n'examine la violation de droits fondamentaux que si ce grief a été invoqué et motivé par le recourant ( art. 106 al. 2 LTF ). Il appartient donc à la partie recourante d'invoquer le grief de violation des droits constitutionnels et de le motiver d'une manière suffisante (cf. art. 106 al. 2 LTF , ATF 136 I 65 consid. 1.3.1 p. 68).</w:t>
      </w:r>
    </w:p>
    <w:p>
      <w:r>
        <w:rPr>
          <w:b/>
        </w:rPr>
        <w:t>E. 2.2</w:t>
      </w:r>
    </w:p>
    <w:p>
      <w:r>
        <w:t>En l'espèce, l'instance précédente a considéré que la procédure pénale confirmait d'une manière générale que A.________ avait prêté à B.________ différents montants moyennant commission, que la chronologie de ces prêts n'avait pu être établie précisément, ni le lien existant entre ceux-ci et les montants prélevés par la recourante, qui avaient transité par le compte en question. Elle a ajouté que la comptabilité de la société n'avait pas été tenue, qu'aucune pièce n'avait été retrouvée et que la recourante n'en avait pas produit qui nécessitait une instruction complémentaire. Le grief d'appréciation arbitraire des preuves soulevé par la recourante (cf. mémoire de recours, p. 12, let. c) ne répond pas aux exigences accrues de motivation de l' art. 106 al. 2 LTF . En se bornant à affirmer que l'instance précédente n'avait pas tenu compte des constatations résultant du jugement du Tribunal de police dans la cause P/19758/2004, la recourante n'expose pas en quoi les motifs pour lesquels l'instance précédente ne considère pas comme probants ces faits seraient arbitraires. Le grief est par conséquent irrecevable.</w:t>
      </w:r>
    </w:p>
    <w:p>
      <w:r>
        <w:rPr>
          <w:b/>
        </w:rPr>
        <w:t>E. 3</w:t>
      </w:r>
    </w:p>
    <w:p>
      <w:r>
        <w:t>Invoquant l' art. 29 al. 2 Cst. , la recourante se plaint de la violation de son droit d'être entendue par l'instance précédente qui n'a pas ordonné l'audition des témoins A.________ et B.________, dont elle avait dûment offert le témoignage.</w:t>
      </w:r>
    </w:p>
    <w:p>
      <w:r>
        <w:rPr>
          <w:b/>
        </w:rPr>
        <w:t>E. 3.1</w:t>
      </w:r>
    </w:p>
    <w:p>
      <w:r>
        <w:t>Le droit d'être entendu garanti par l' art. 29 al. 2 Cst. comprend notamment le droit pour l'intéressé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Le droit de faire administrer des preuves suppose que le fait à prouver soit pertinent, que le moyen de preuve proposé soit nécessaire pour constater ce fait et que la demande soit présentée selon les formes et délais prescrits par le droit cantonal ( ATF 119 Ib 492 consid. 5b/bb p. 505). Par ailleurs, cette garantie constitutionnelle n'empêche pas l'autorité de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 ATF 136 I 229 consid. 5.3 p. 236; 130 II 425 consid. 2.1 p. 429; 119 Ib 492 consid. 5b/bb p. 505/ 506).</w:t>
      </w:r>
    </w:p>
    <w:p>
      <w:r>
        <w:rPr>
          <w:b/>
        </w:rPr>
        <w:t>E. 3.2</w:t>
      </w:r>
    </w:p>
    <w:p>
      <w:r>
        <w:t>En l'espèce, l'instance précédente a exposé que les deux témoins en cause étaient certes liés à l'utilisation du compte de la société et qu'ils avaient tous deux été entendus par la police et par le juge d'instruction dans le cadre de la procédure P/19758/2004, dont l'apport avait été ordonné. Elle a en revanche souligné qu'aucune pièce comptable n'avait été retrouvée, la recourante n'ayant pas tenu de comptabilité, de sorte que l'audition de ces deux témoins ne permettrait pas à la recourante, près de dix ans après les faits, d'apporter une preuve qu'elle n'avait pas bénéficié de ces prélèvements (arrêt attaqué, consid. 4). Cette appréciation anticipée des preuves est dépourvue d'arbitraire. Il ressort de l'arrêt attaqué que les témoins avaient déjà été entendus de manière approfondie par le juge d'instruction pénale, dont les procès verbaux ont été produits en procédure de recours. Il ressort également de l'arrêt attaqué que la recourante était administratrice avec signature individuelle de la société Y.________ durant les années sous revue. Dans ces circonstances, on ne saurait qualifier d'insoutenable la position de l'instance précédente qui a jugé de manière anticipée que le témoignage de ces deux personnes ne pouvait pallier la production de pièces comptables, désignant précisément les mouvements financiers, dès lors que l'inexistence de la comptabilité violait les obligations résultant des art. 957 et 963 CO ainsi que des art. 126 al. 2 LIFD et 42 al. 3 LHID.</w:t>
      </w:r>
    </w:p>
    <w:p>
      <w:r>
        <w:rPr>
          <w:b/>
        </w:rPr>
        <w:t>E. 3.3</w:t>
      </w:r>
    </w:p>
    <w:p>
      <w:r>
        <w:t>La recourante se plaint de la violation de la loi fédérale sur l'impôt fédéral direct ainsi que l'application arbitraire de l'ancienne loi genevoise sur l'imposition des personnes physiques tant en matière de qualification de revenu imposable (mémoire de recours let. C et D) qu'en matière de soustraction fiscale (mémoire de recours let. E et F). Tels qu'ils sont rédigés ces griefs se confondent les deux griefs précédents d'arbitraire dans l'appréciation (anticipée) des preuves. Ils doivent par conséquent être rejetés pour les mêmes motifs dans la me-sure où ils sont recevables.</w:t>
      </w:r>
    </w:p>
    <w:p>
      <w:r>
        <w:rPr>
          <w:b/>
        </w:rPr>
        <w:t>E. 3.4</w:t>
      </w:r>
    </w:p>
    <w:p>
      <w:r>
        <w:t>L'impôt sur le revenu a pour objet tous les revenus du contribuable, qu'ils soient uniques ou périodiques (art. 16 de la loi du 14 décembre 1990 sur l'impôt fédéral direct [LIFD; RS 642.11]). Il s'agit d'une clause générale définissant le revenu imposable. Elle correspond au principe de l'imposition du revenu global net ( ATF 125 II 113 consid. 4a p. 119 s.). La loi du 14 décembre 1990 sur fédérale sur l'harmonisation des impôts directs des cantons et des communes (LIHID; RS 642.14) contient des dispositions similaires à son art. 7, selon lequel l'impôt sur le revenu a pour objet tous les revenus du contribuable, qu'ils soient uniques ou périodiques, en particulier le produit d'une activité lucrative dépendante ou indépendante, le rendement de la fortune y compris la valeur locative de l'habitation du contribuable dans son propre immeuble, les prestations d'institutions de prévoyance professionnelle ainsi que les rentes viagères.</w:t>
      </w:r>
    </w:p>
    <w:p>
      <w:r>
        <w:rPr>
          <w:b/>
        </w:rPr>
        <w:t>E. 3.5</w:t>
      </w:r>
    </w:p>
    <w:p>
      <w:r>
        <w:t>En l'espèce, la recourante était administratrice avec signature individuelle de la société dont elle a perçu des sommes d'argent entre 2001 et 2003, qui ont été reprises au titre de revenu. Il est établi que la recourante, à qui incombait le fardeau de la preuve, a échoué dans la démonstration que ces sommes ne constituaient pas un revenu. C'est par conséquent à bon droit que l'instance précédente a confirmé les reprises litigieuses.</w:t>
      </w:r>
    </w:p>
    <w:p>
      <w:r>
        <w:rPr>
          <w:b/>
        </w:rPr>
        <w:t>E. 4</w:t>
      </w:r>
    </w:p>
    <w:p>
      <w:r>
        <w:t>Les considérants qui précédent conduisent au rejet du recours dans la mesure où il est recevable. Le recours constitutionnel subsidiaire est irrecevable. Succombant, la recourante doit supporter les frais de la procédure fédérale ( art. 66 al. 1 et 5 LTF ). Elle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