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916/2021 vom 17. November 2021</w:t>
      </w:r>
    </w:p>
    <w:p>
      <w:r>
        <w:t>Bundesgericht, 2021-11-17, FR</w:t>
      </w:r>
    </w:p>
    <w:p>
      <w:r>
        <w:rPr>
          <w:b/>
        </w:rPr>
        <w:t xml:space="preserve">Quelle: </w:t>
      </w:r>
      <w:r>
        <w:t>https://mcp.opencaselaw.ch/entscheid/bger_2C_916_2021</w:t>
      </w:r>
    </w:p>
    <w:p>
      <w:r>
        <w:t>FR: TF 2C 916/2021 du 17 novembre 2021</w:t>
      </w:r>
    </w:p>
    <w:p>
      <w:r>
        <w:t>IT: TF 2C 916/2021 del 17 novembre 2021</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A.________, ressortissante turque, d'ethnie kurde, née le 20 juillet 1993, est entrée en Suisse en 2013. Elle vit chez ses parents qui sont titulaires d'une autorisation d'établissement. Par décision du 5 novembre 2013 de l'Office cantonal de la population et des migrations du canton de Genève, elle a obtenu une autorisation de séjour pour études valable jusqu'au 30 juin 2014. Par décision du 20 août 2020, l'Office cantonal de la population et des migrations a refusé de renouveler l'autorisation de séjour pour études et refusé de soumettre son cas au Secrétariat d'Etat aux migrations. Par arrêt du 12 octobre 2021, la Cour de justice du canton de Genève a rejeté le recours que l'intéressée avait déposé contre le jugement du Tribunal administratif de première instance du canton de Genève du 9 avril 2021 qui a refusé de lui délivrer une autorisation de séjour pour cas de rigueur et pris acte de ce que l'Office cantonal de la population et des migrations transmettait le dossier au Secrétariat d'Etat aux migrations pour une admission provisoire. Les conditions d'un séjour pour cas de rigueur n'étaient pas réunies. L'intéressée ne pouvait pas se prévaloir du droit à la vie privée et à la vie de famille garanti par l' art. 8 CEDH , puisqu'elle était majeure, sans dépendance particulière avec ses parents, et qu'elle n'avait pas vécu légalement en Suisse plus de dix ans.</w:t>
      </w:r>
    </w:p>
    <w:p>
      <w:r>
        <w:rPr>
          <w:b/>
        </w:rPr>
        <w:t>E. 2</w:t>
      </w:r>
    </w:p>
    <w:p>
      <w:r>
        <w:t>Agissant par la voie du recours en matière de droit public, l'intéressée demande au Tribunal fédéral, sous suite de frais et dépens, de réformer l'arrêt rendu le 12 octobre 2021 par la Cour de justice du canton de Genève en ce sens qu'elle est mise au bénéfice d'une autorisation de séjour pour cas de rigueur. Elle se plaint de la violation des art. 30 LEI et 8 CEDH.</w:t>
      </w:r>
    </w:p>
    <w:p>
      <w:r>
        <w:rPr>
          <w:b/>
        </w:rPr>
        <w:t>E. 3</w:t>
      </w:r>
    </w:p>
    <w:p>
      <w:r>
        <w:t>Selon l' art. 83 let . c ch. 2 et 5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et celles qui concernent les dérogations aux conditions d'admission telles qu'elles résultent de l' art. 30 LEI . 3.1.</w:t>
      </w:r>
    </w:p>
    <w:p>
      <w:r>
        <w:rPr>
          <w:b/>
        </w:rPr>
        <w:t>E. 3.1</w:t>
      </w:r>
    </w:p>
    <w:p>
      <w:r>
        <w:t>En tant que les conclusions du recours sont fondées sur l' art. 30 LEI , le recours en matière de droit public est exclu.</w:t>
      </w:r>
    </w:p>
    <w:p>
      <w:r>
        <w:rPr>
          <w:b/>
        </w:rPr>
        <w:t>E. 3.2</w:t>
      </w:r>
    </w:p>
    <w:p>
      <w:r>
        <w:t>Dans un arrêt récent, après avoir longuement rappelé la position de la Cour EDH sur le droit au respect de la vie familiale et le droit au respect de la vie privée garantis par l' art. 8 CEDH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(arrêt 2C_459/2019 du 17 mai 2019 consid. 3). En l'espèce, la recourante n'a résidé en Suisse au bénéfice d'une autorisation de séjour pour études que pendant une année.</w:t>
      </w:r>
    </w:p>
    <w:p>
      <w:r>
        <w:rPr>
          <w:b/>
        </w:rPr>
        <w:t>E. 3.3</w:t>
      </w:r>
    </w:p>
    <w:p>
      <w:r>
        <w:t>Pour le surplus, la recourante perd de vue que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pour ce qui concerne l'arrêt Maslov de la Cour EDH, invoqué par la recourante, cf. ATF 145 I 227 consid. 6.4). Rien dans l'arrêt attaqué ne tend à démontrer que la recourante se trouve dans une telle situation.</w:t>
      </w:r>
    </w:p>
    <w:p>
      <w:r>
        <w:rPr>
          <w:b/>
        </w:rPr>
        <w:t>E. 3.4</w:t>
      </w:r>
    </w:p>
    <w:p>
      <w:r>
        <w:t>La recourante ne peut pas se prévaloir de manière défendable des droits garantis par l' art. 8 CEDH .</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