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2C_914/2016 vom 20. März 2017</w:t>
      </w:r>
    </w:p>
    <w:p>
      <w:r>
        <w:t>Bundesgericht, 2017-03-20, DE</w:t>
      </w:r>
    </w:p>
    <w:p>
      <w:r>
        <w:rPr>
          <w:b/>
        </w:rPr>
        <w:t xml:space="preserve">Quelle: </w:t>
      </w:r>
      <w:r>
        <w:t>https://mcp.opencaselaw.ch/entscheid/bger_2C_914_2016</w:t>
      </w:r>
    </w:p>
    <w:p>
      <w:r>
        <w:t>FR: TF 2C_914/2016 du 20 mars 2017</w:t>
      </w:r>
    </w:p>
    <w:p>
      <w:r>
        <w:t>IT: TF 2C_914/2016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20.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 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den Mieterspiegel für die Liegenschaft in Solothurn sowie einen Zivilstandsnachweis betreffend die Kinder, wobei ihm im Falle der Nichterfüllung die Veranlagung nach pflichtgemässem Ermessen in Aussicht gestellt wurde (Schreiben vom 10. November 2015). Der Beschwerdeführer reichte daraufhin den Mieterspiegel des Jahres 2014 der betreffenden Liegenschaft sowie Geburtsurkunden ein. In der Folge nahm die Veranlagungsbehörde eine Ermessensveranlagung vor. In seiner Einsprache vom 12.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