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2C_90/2010 vom 10. Februar 2011</w:t>
      </w:r>
    </w:p>
    <w:p>
      <w:r>
        <w:t>Bundesgericht, 2011-02-10, DE</w:t>
      </w:r>
    </w:p>
    <w:p>
      <w:r>
        <w:rPr>
          <w:b/>
        </w:rPr>
        <w:t xml:space="preserve">Quelle: </w:t>
      </w:r>
      <w:r>
        <w:t>https://mcp.opencaselaw.ch/entscheid/bger_2C_90_2010</w:t>
      </w:r>
    </w:p>
    <w:p>
      <w:r>
        <w:t>FR: TF 2C_90/2010 du 10 février 2011</w:t>
      </w:r>
    </w:p>
    <w:p>
      <w:r>
        <w:t>IT: TF 2C_90/2010 del 10 febbraio 2011</w:t>
      </w:r>
    </w:p>
    <w:p>
      <w:pPr>
        <w:pStyle w:val="Heading2"/>
      </w:pPr>
      <w:r>
        <w:t>Erwägungen</w:t>
      </w:r>
    </w:p>
    <w:p>
      <w:r>
        <w:rPr>
          <w:b/>
        </w:rPr>
        <w:t>E. 1.1</w:t>
      </w:r>
    </w:p>
    <w:p>
      <w:r>
        <w:t>Gegen Urteile des Bundesverwaltungsgerichts im Bereich der Finanzmarktaufsicht kann mit Beschwerde in öffentlich-rechtlichen Angelegenheiten an das Bundesgericht gelangt werden ( Art. 82 ff. BGG i.V.m. Art. 31 VGG ). Die Vorinstanz hat festgestellt, dass X.________ gegen das Bankengesetz verstossen habe. Sie hat das gegen ihn ausgesprochene Verbot bestätigt, künftig nicht mehr Publikumseinlagen gewerbsmässig entgegennehmen oder für solche werben zu dürfen. X.________ ist in diesen Punkten befugt, den Entscheid des Bundesverwaltungsgerichts in eigenem Namen anzufechten ( Art. 89 Abs. 1 BGG ; Urteil 2C_749/2008 vom 16. Juni 2009 E. 1.2).</w:t>
      </w:r>
    </w:p>
    <w:p>
      <w:r>
        <w:rPr>
          <w:b/>
        </w:rPr>
        <w:t>E. 1.2</w:t>
      </w:r>
    </w:p>
    <w:p>
      <w:r>
        <w:t>Am 1. Januar 2009 ist das Bundesgesetz vom 22. Juni 2007 über die Eidgenössische Finanzmarktaufsicht (Finanzmarktaufsichtsgesetz; FINMAG; SR 956.1) in Kraft getreten. Die EBK wurde auf dieses Datum hin durch die "Eidgenössische Finanzmarktaufsicht (FINMA)" abgelöst ( Art. 58 Abs. 1 FINMAG ). Seither überwacht diese als öffentlich-rechtliche Anstalt mit eigener Rechtspersönlichkeit den Finanzmarkt ( Art. 4 Abs. 1 FINMAG ). Sie hat alle Verfahren übernommen, die bei Inkrafttreten des Finanzmarktgesetzes noch hängig waren ( Art. 58 Abs. 3 FINMAG ). Da es die Bankenkommission nicht mehr gibt, ist das vorliegende Verfahren mit der FINMA als deren Nachfolgeorganisation abzuschliessen. Verfahrensrechtlich gilt das neue Recht; materiell ist von der Rechtslage auszugehen, wie sie zum Zeitpunkt des Entscheids der EBK bestand, d.h., es ist auf die jeweilige Fassung der einschlägigen finanzmarktrechtlichen Bestimmungen in ihrer Version vor dem 1. Januar 2009 abzustellen (vgl. Urteil 2C_324/2009 vom 9. November 2009 E. 2.1 mit Hinweis).</w:t>
      </w:r>
    </w:p>
    <w:p>
      <w:r>
        <w:rPr>
          <w:b/>
        </w:rPr>
        <w:t>E. 1.3.1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wurde ( Art. 105 Abs. 2 OG ). Der Beschwerdeführer muss rechtsgenügend darlegen, dass und inwiefern der festgestellte Sachverhalt klar und eindeutig mangelhaft ist ( Art. 42 Abs. 2 und Art. 106 Abs. 2 BGG ; vgl. BGE 133 II 249 E. 1.4.3; 133 III 350 E. 1.3, 393 E. 7.1, 462 E. 2.4). Auf lediglich appellatorische Kritik an der Sachverhaltsfeststellung und an der Beweiswürdigung tritt das Bundesgericht nicht ein ( BGE 136 II 101 E. 3 S. 104 f.). Der Beschwerdeführer hat in Auseinandersetzung mit der Begründung im angefochtenen Entscheid im Einzelnen darzutun, inwiefern die Sachverhaltsfeststellung oder die Beweiswürdigung offensichtlich unhaltbar und damit willkürlich sein soll.</w:t>
      </w:r>
    </w:p>
    <w:p>
      <w:r>
        <w:rPr>
          <w:b/>
        </w:rPr>
        <w:t>E. 1.3.2</w:t>
      </w:r>
    </w:p>
    <w:p>
      <w:r>
        <w:t>Die Eingabe von X.________ genügt diesen Anforderungen weitgehend nicht: Er behauptet zwar, die Vorinstanz habe den rechtserheblichen Sachverhalt unrichtig und unvollständig festgestellt, er führt indessen nicht aus, inwiefern dies offensichtlich der Fall sein soll. Er beschränkt sich darauf, seine Sicht der Dinge, wie er sie der Vorinstanz vorgetragen hat, appellatorisch zu wiederholen. Mit den Ausführungen im angefochtenen Entscheid zu seinen Einwänden und zur Aktenlage setzt er sich nicht vertieft auseinander. Er behauptet zwar, nur untergeordnete administrative Arbeiten für die Unternehmen der "Baumann"-Gruppe erledigt und im Übrigen als selbständiger Vermittler gehandelt zu haben. Er legt indessen nicht dar, inwiefern sich dies klar aus den beschlagnahmten Unterlagen ergeben würde und die abweichende Beweiswürdigung der Vorinstanz willkürlich wäre. Es ist deshalb vom Sachverhalt auszugehen, wie ihn das Bundesverwaltungsgericht festgestellt hat. Ob die Tätigkeit des Beschwerdeführers mangels Organstellung oder Leitungsfunktion in der "Baumann"-Gruppe selbständig bzw. im Gruppenzusammenhang untergeordnet war, ist Rechts- und nicht Tatfrage.</w:t>
      </w:r>
    </w:p>
    <w:p>
      <w:r>
        <w:rPr>
          <w:b/>
        </w:rPr>
        <w:t>E. 2.1</w:t>
      </w:r>
    </w:p>
    <w:p>
      <w:r>
        <w:t>Natürliche und juristische Personen, die nicht dem Bankengesetz unterstehen, dürfen keine Publikumseinlagen gewerbsmässig entgegennehmen ( Art. 1 Abs. 2 BankG ). Eine bankengesetzlich unzulässige Entgegennahme von Publikumsgeldern kann auch durch ein arbeitsteiliges Vorgehen im Rahmen einer Gruppe erfolgen: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richtet sich gegen den Rechtsmissbrauch und soll verhindern, dass Akteure, die in Umgehung der finanzmarktrechtlichen Auflagen handeln, besser gestellt werden, als wer sich gesetzeskonform der Aufsicht der staatlichen Behörden unterwirft ( BGE 136 II 43 E. 4.3.3 S. 51).</w:t>
      </w:r>
    </w:p>
    <w:p>
      <w:r>
        <w:rPr>
          <w:b/>
        </w:rPr>
        <w:t>E. 2.2</w:t>
      </w:r>
    </w:p>
    <w:p>
      <w:r>
        <w:t>Ein gruppenweises Handeln liegt nach der Rechtsprechung insbesondere dann vor, wenn die Beteiligten gegen aussen als Einheit auftreten bzw.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wird ( BGE 136 II 43 E. 4.3 mit Hinweisen). Die entsprechende Praxis ist entgegen der Kritik des Beschwerdeführers nicht verfassungswidrig; sie kann sich auf Art. 23ter Abs. 1 BankG bzw. Art. 31 FINMAG stützen ( BGE 136 II 43 E. 4.3.2 und 4.3.3): Diese gesetzlichen Grundlagen decken im Interesse der Anleger und des Finanzplatzes auch Anordnungen gegen Finanzintermediäre ab, die in Verletzung bzw. in Umgehung finanzmarktrechtlicher Bestimmungen bewilligungslos tätig sind, und erlaubt, ihnen gegenüber die für die überwachten Intermediäre im Gesetz geregelten Sanktionen und Verwaltungsmassnahmen analog anzuwenden. Die erforderlichen Einschränkungen ergeben sich aus den von der EBK bzw. der FINMA jeweils zu berücksichtigenden verfassungs- und verwaltungsrechtlichen Grundsätzen, wie sie das Bundesgericht in seiner Rechtsprechung konkretisiert hat. Bei sämtlichen Massnahmen kommt dabei - wegen der Offenheit der Gesetzgebung - dem Verhältnismässigkeitsprinzip eine besondere Bedeutung zu ( Art. 5 Abs. 2 BV ; BGE 136 II 43 E. 4.3.2).</w:t>
      </w:r>
    </w:p>
    <w:p>
      <w:r>
        <w:rPr>
          <w:b/>
        </w:rPr>
        <w:t>E. 3</w:t>
      </w:r>
    </w:p>
    <w:p>
      <w:r>
        <w:t>Wenn das Bundesverwaltungsgericht davon ausgegangen ist, der Beschwerdeführer sei in massgebender Weise in die Aktivitäten der "Baumann"-Gruppe involviert gewesen, weshalb ihm deren Handeln zuzurechnen sei, ist dies nicht bundesrechtswidrig:</w:t>
      </w:r>
    </w:p>
    <w:p>
      <w:r>
        <w:rPr>
          <w:b/>
        </w:rPr>
        <w:t>E. 3.1</w:t>
      </w:r>
    </w:p>
    <w:p>
      <w:r>
        <w:t>Der Beschwerdeführer bestreitet nicht, dass die "Baumann"-Gruppe als solche illegal einer bewilligungspflichtigen Tätigkeit nachgegangen ist. Gemäss den verbindlichen Sachverhaltsfeststellungen der Vorinstanz hat er selber 108 Anleger direkt oder indirekt (über Untervermittler) betreut, wobei deren gesamtes Investitionsvolumen rund Fr. 21'017'220.-- betrug. Ambros Baumann stellte jeweils die Vertragsmuster zur Verfügung, während der Beschwerdeführer die Unterschriften bei den Kunden einholte und die Verträge dann an Ambros Baumann weiterleitete. Teilweise nahm er die investierten Gelder von den Kunden in bar entgegen und übermittelte sie dann seinerseits an Ambros Baumann. Umgekehrt überwies dieser die Renditen der vom Beschwerdeführer bzw. durch seine Untervermittler betreuten Kunden jeweils auf dessen Konto. Die diesbezüglichen Kommunikationen an Ambros Baumann erfolgten per E-Mail und zum Teil ohne Angabe des Namens des betroffenen Kunden, für den das Geld bestimmt war. Der Beschwerdeführer legte für seine Anleger gemäss den Mitteilungen von Ambros Baumann die quartalsweise ausgestellten, individuellen Renditeabrechnungen an. Der Beschwerdeführer erstellte zudem Abrechnungen und Steuerbescheinigungen für Kunden von elf anderen Vermittlern. Achtzehn seiner Kunden betätigten sich ihrerseits als Untervermittler, für acht von ihnen übernahm er die Abrechnungen. Für seine Tätigkeit erhielt der Beschwerdeführer - nach seinen Angaben aufgrund eines mündlichen Arbeitsvertrags - ab 2005 ein monatliches Gehalt von Fr. 2'500.-- bzw. seit 2007 von Fr. 3'000.--. Hinzu kamen die Provisionen, die 10 bis 20 % der Bruttorendite betrugen. In den Jahren 2004 bis 2006 erhielt er in diesem Rahmen Beträge von Fr. 70'550.--, Fr. 74'300.-- bzw. Fr. 81'100.--. Im Jahr 2007 will er keine Provisionen, aber eine Entschädigung von Fr. 60'000.-- erhalten haben. Der Beschwerdeführer berechnete auch die Provisionen seiner Untervermittler sowie einzelner anderer Vermittler, wobei er mit den Untervermittlern eine Provisionsteilung (20 % an ihn) verabredet haben will. Die entsprechenden Zahlungen erfolgten auf ein Konto des Beschwerdeführers, welcher die Gelder in der Folge in bar an die Untervermittler weiterleitete.</w:t>
      </w:r>
    </w:p>
    <w:p>
      <w:r>
        <w:rPr>
          <w:b/>
        </w:rPr>
        <w:t>E. 3.2</w:t>
      </w:r>
    </w:p>
    <w:p>
      <w:r>
        <w:t>Das Bundesverwaltungsgericht durfte gestützt hierauf willkürfrei zum Schluss kommen, dass der Beschwerdeführer weitgehend autonom gehandelt und eine massgebliche Rolle im Gebilde der "Baumann"-Gruppe gespielt hat. Er handelte im Rahmen von deren Aktivitäten nicht einfach als weisungsgebundener Arbeitnehmer, sondern er trug eine gewisse Mitverantwortung für die Geschäftstätigkeit, auch wenn er nicht selber über die Geldanlage bestimmte bzw. nicht selber alle Voraussetzungen der verbotenen bewilligungspflichtigen Entgegennahme von Publikumsgeldern in seiner Person erfüllte. Die arbeitsteilige gewerbsmässige Entgegennahme von Publikumseinlagen im Rahmen einer Gruppe zeichnet sich gerade dadurch aus, dass die einzelnen Personen nicht alle Voraussetzungen der bewilligungspflichtigen Tätigkeit erfüllen, jedoch in einem Gesamtplan gruppenintern oder -extern einen wesentlichen Beitrag zu dieser leisten. Mit der Vorinstanz ist davon auszugehen, dass zwischen dem Beschwerdeführer und Ambros Baumann objektiv ein arbeitsteiliges und - zumindest stillschweigend - koordiniertes Zusammenwirken stattgefunden hat, mit dem Resultat, dass in Verletzung von Art. 1 Abs. 2 BankG gewerbsmässig Publikumseinlagen entgegengenommen wurden, ohne dass eine gesetzliche Ausnahmesituation vorgelegen hätte. Wie das Bundesverwaltungsgericht zu Recht festgestellt hat, können aufsichtsrechtlich auch natürliche Personen Teil einer als Einheit zu behandelnden Gruppe sein, falls sie - im Rahmen einer fairen Gesamtsicht - als massgeblich an den bewilligungspflichtigen Tätigkeiten beteiligt bzw. in die entsprechenden Gruppenaktivitäten in entscheidender Funktion involviert erscheinen (vgl. das Urteil 2C_324/2009 vom 9. November 2009 E. 3.2).</w:t>
      </w:r>
    </w:p>
    <w:p>
      <w:r>
        <w:rPr>
          <w:b/>
        </w:rPr>
        <w:t>E. 4.1</w:t>
      </w:r>
    </w:p>
    <w:p>
      <w:r>
        <w:t>Der Beschwerdeführer beanstandet in seiner Eingabe weder das ihm auferlegte Verbot der (weiteren) Entgegennahme von Publikumseinlagen noch das entsprechende Werbeverbot. Er kritisiert auch die Einsetzung der Untersuchungsbeauftragten und die mit der Verfügung der EBK vom 29. Oktober 2008 verbundenen Kosten nicht, weshalb sich weitere Ausführungen hierzu erübrigen. Die Beschwerde erweist sich nach dem Gesagten als unbegründet und ist deshalb abzuweisen, soweit darauf eingetreten werden kann.</w:t>
      </w:r>
    </w:p>
    <w:p>
      <w:r>
        <w:rPr>
          <w:b/>
        </w:rPr>
        <w:t>E. 4.2</w:t>
      </w:r>
    </w:p>
    <w:p>
      <w:r>
        <w:t>Dem Verfahrensausgang entsprechend wird der unterliegende Beschwerdeführer kostenpflichtig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