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2C_905/2016 vom 29. September 2016</w:t>
      </w:r>
    </w:p>
    <w:p>
      <w:r>
        <w:t>Bundesgericht, 2016-09-29, FR</w:t>
      </w:r>
    </w:p>
    <w:p>
      <w:r>
        <w:rPr>
          <w:b/>
        </w:rPr>
        <w:t xml:space="preserve">Quelle: </w:t>
      </w:r>
      <w:r>
        <w:t>https://mcp.opencaselaw.ch/entscheid/bger_2C_905_2016</w:t>
      </w:r>
    </w:p>
    <w:p>
      <w:r>
        <w:t>FR: TF 2C_905/2016 du 29 septembre 2016</w:t>
      </w:r>
    </w:p>
    <w:p>
      <w:r>
        <w:t>IT: TF 2C_905/2016 del 29 settembre 2016</w:t>
      </w:r>
    </w:p>
    <w:p>
      <w:pPr>
        <w:pStyle w:val="Heading2"/>
      </w:pPr>
      <w:r>
        <w:t>Erwägungen</w:t>
      </w:r>
    </w:p>
    <w:p>
      <w:r>
        <w:rPr>
          <w:b/>
        </w:rPr>
        <w:t>E. 1</w:t>
      </w:r>
    </w:p>
    <w:p>
      <w:r>
        <w:t>Par arrêt du 16 septembre 2016, le Tribunal cantonal du canton de Vaud a déclaré irrecevable le recours du 8 juin 2016 dirigé par X.________ contre la décision sur réclamation rendue le 15 avril 2016 par l'Administration cantonale des impôts du canton de Vaud relative à la période fiscale 2013. Il n'avait pas payé l'avance de frais dans le délai prescrit.</w:t>
      </w:r>
    </w:p>
    <w:p>
      <w:r>
        <w:rPr>
          <w:b/>
        </w:rPr>
        <w:t>E. 2</w:t>
      </w:r>
    </w:p>
    <w:p>
      <w:r>
        <w:t>Le 24 septembre 2016, X.________ adresse au Tribunal fédéral un recours, dans lequel il déclare l'arrêt du 16 septembre 2016 invalide et expose beaucoup d'autres faits en relation avec des procédures antérieures.</w:t>
      </w:r>
    </w:p>
    <w:p>
      <w:r>
        <w:rPr>
          <w:b/>
        </w:rPr>
        <w:t>E. 3</w:t>
      </w:r>
    </w:p>
    <w:p>
      <w:r>
        <w:t>Le recours en matière de droit public, sauf dans les cas cités expressément par l'art. 95 de la loi du 17 juin 2005 sur le Tribunal fédéral (LTF; RS 173.110),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 s.; 133 III 462 consid. 2.3 p. 466). Il appartient toutefois à la partie recourante d'invoquer de tels griefs et de les motiver d'une manière suffisante (cf. art. 106 al. 2 LTF ; ATF 133 II 249 consid. 1.4.2 p. 254). En l'espèce, l'irrecevabilité du recours relève du droit cantonal de procédure. Il appartenait donc au recourant d'exposer en quoi l'instance précédente aurait, le cas échéant, appliqué de manière arbitraire ou contraire à un droit fondamental le droit cantonal, ce qu'il n'a pas fait, en violation des exigences de motivation accrues de l' art. 106 al. 2 LTF ou en quoi les conditions pour une restitution du délai également fondée sur le droit cantonal étaient remplies, ce qu'il n'a pas fait non plus.</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