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2C_904/2021 vom 1. Dezember 2021</w:t>
      </w:r>
    </w:p>
    <w:p>
      <w:r>
        <w:t>Bundesgericht, 2021-12-01, FR</w:t>
      </w:r>
    </w:p>
    <w:p>
      <w:r>
        <w:rPr>
          <w:b/>
        </w:rPr>
        <w:t xml:space="preserve">Quelle: </w:t>
      </w:r>
      <w:r>
        <w:t>https://mcp.opencaselaw.ch/entscheid/bger_2C_904_2021</w:t>
      </w:r>
    </w:p>
    <w:p>
      <w:r>
        <w:t>FR: TF 2C_904/2021 du 1 décembre 2021</w:t>
      </w:r>
    </w:p>
    <w:p>
      <w:r>
        <w:t>IT: TF 2C_904/2021 del 1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 Les données transmises par C.________ concernant la présente procédure font état de trois personnes concernées, à savoir D.________ et E.________ en qualité de beneficial owners et F.________, en qualité d'account holder.</w:t>
      </w:r>
    </w:p>
    <w:p>
      <w:r>
        <w:rPr>
          <w:b/>
        </w:rPr>
        <w:t>E. 1.3</w:t>
      </w:r>
    </w:p>
    <w:p>
      <w:r>
        <w:t>Par courrier du 26 juillet 2016, E.________ a informé l'Administration fédérale du décès de son époux feu D.________, survenu en 2010, dont elle déclarait être l'unique héritière, et de son souhait de prendre part à la procédure. A sa demande, l'Administration fédérale lui a transmis l'intégralité des pièces du dossier.</w:t>
      </w:r>
    </w:p>
    <w:p>
      <w:r>
        <w:rPr>
          <w:b/>
        </w:rPr>
        <w:t>E. 1.4</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1.5</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1.6</w:t>
      </w:r>
    </w:p>
    <w:p>
      <w:r>
        <w:t>Le 5 mars 2020, l'Administration fédérale a prié E.________ de lui communiquer le certificat d'héritiers de feu D.________, dont elle lui avait entre-temps adressé l'acte de décès. Par courriel du 13 mars 2020, le mandataire de E.________ a transmis à l'Administration fédérale un acte notarié attestant que feu D.________ laissait une conjointe survivante, E.________, ainsi que deux héritiers, à savoir leurs deux enfants communs A.________ et B.________, et qu'il avait donné à son épouse tous les biens composant sa succession, avec l'accord des enfants. Dans le même courriel, il informait l'Administration fédérale du décès récent de feue E.________ et qu'il représentait A.________, qui était son unique héritière. Le 30 mars 2020, l'Administration fédérale a rappelé que A.________ était déjà considérée comme personne concernée en qualité d'héritière de feu D.________ et qu'elle partait du principe que tant celle-ci que B.________ étaient héritiers de feue E.________. Le 3 avril 2021, A.________ a transmis à l'Administration fédérale l'acte de décès de feue E.________, le testament de cette dernière, par lequel elle léguait tout son patrimoine à A.________, ainsi qu'une déclaration de B.________ par laquelle il déclarait accepter irrévocablement le contenu du testament.</w:t>
      </w:r>
    </w:p>
    <w:p>
      <w:r>
        <w:t>Par décision finale du 12 mai 2020 notifiée à B.________ par publication anonyme dans la Feuille fédérale et par décision finale du 19 mars 2021 notifiée à A.________, l'Administration fédérale a accordé l'assistance administrative à la France. La décision finale du 19 mars 2021 précisait que les autres personnes concernées (dont B.________), qui ne s'étaient pas manifestées, s'étaient vu notifier une décision finale par publication dans la Feuille fédérale. Par courriel du 12 avril 2021, le mandataire de A.________ a informé l'Administration fédérale qu'il représentait également le recourant et a demandé que la décision finale le concernant lui soit communiquée.</w:t>
      </w:r>
    </w:p>
    <w:p>
      <w:r>
        <w:t>Par actes du 19 avril 2021, A.________ et B.________ ont formé séparément un recours auprès du Tribunal administratif fédéral contre la décision finale de l'Administration fédérale du 12 mai 2020, respectivement du 19 mars 2021.</w:t>
      </w:r>
    </w:p>
    <w:p>
      <w:r>
        <w:t>Après avoir joint les causes et admis la recevabilité du recours de B.________, le Tribunal administratif fédéral a, par arrêt du 27 octobre 2021, rejeté la demande de suspension de la procédure, pour autant qu'elle ne soit pas sans objet, et rejeté les recours.</w:t>
      </w:r>
    </w:p>
    <w:p>
      <w:r>
        <w:rPr>
          <w:b/>
        </w:rPr>
        <w:t>E. 1.7</w:t>
      </w:r>
    </w:p>
    <w:p>
      <w:r>
        <w:t>A l'encontre de cet arrêt, A.________ et B.________ forment un recours en matière de droit public au Tribunal fédéral. Sous suite de frais et dépens, ils requièrent,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Ils concluent, principalement, à l'annulation de l'arrêt du 27 octobre 2021 du Tribunal administratif fédéral et au refus de l'assistance administrative dans le cadre de la présente procédure; subsidiairement, à l'annulation de l'arrêt attaqué et au renvoi de la cause devant l'instance précédente en lui intimant de mettre à leur disposition l'ensemble des pièces pour leur permettre de prendre position; plus subsidiairement, d'annuler l'arrêt attaqué et de retirer les données concernant A.________ et B.________ des renseignements à transmettent de corriger les informations à transmettre en ce sens qu'elles reflètent l'adresse la plus actuelle disponible dans la documentation bancaire concernant E.________, à savoir une adresse en Israël.</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soulevée doit concerner le domaine de l'assistance administrative internationale en matière fiscale, c'est-à-dire l'application des normes spécifiques à ce domaine (arrêt 2C_651/2021 du 13 septembre 2021 consid. 6.1).</w:t>
      </w:r>
    </w:p>
    <w:p>
      <w:r>
        <w:t>En vertu de l' art. 42 al. 2 LTF , il incombe au recourant d'expliquer que les conditions d'entrée en matière posées à l' art. 84a LTF sont remplies ( ATF 145 IV 99 consid. 1.5). La partie recourante doit ainsi démontrer, sous peine d'irrecevabilité, que la décision attaquée soulève une question juridique de principe ou relève pour un autre motif d'un cas particulièrement important, à moins que cela ne fasse aucun doute ( art. 42 al. 2 2 e phrase LTF; cf. ATF 141 II 353 consid. 1.2; 140 III 501 consid. 1.3; récemment arrêts 2C_901/2020 du 5 novembre 2021 consid. 2.1; 4A_248/2021 du 9 novembre 2021 consid. 1.2). En outre, l'objet de la contestation portée devant le Tribunal fédéral est définie par l'arrêt attaqué ( ATF 142 I 155 consid. 4.4.2). C'est cette décision dont le Tribunal fédéral doit examiner la conformité au droit et non pas la décision initiale rendue par l'autorité administrative. La partie recourante doit donc s'en prendre à l'arrêt du Tribunal administratif fédéral et expliquer en quoi cet arrêt remplit les conditions justifiant d'entrer en matière au sens de l' art. 84a LTF .</w:t>
      </w:r>
    </w:p>
    <w:p>
      <w:r>
        <w:rPr>
          <w:b/>
        </w:rPr>
        <w:t>E. 3.2</w:t>
      </w:r>
    </w:p>
    <w:p>
      <w:r>
        <w:t>Les recourants font valoir que la présente cause soulève deux questions juridiques de principe.</w:t>
      </w:r>
    </w:p>
    <w:p>
      <w:r>
        <w:rPr>
          <w:b/>
        </w:rPr>
        <w:t>E. 3.2.1</w:t>
      </w:r>
    </w:p>
    <w:p>
      <w:r>
        <w:t>Se plaignant d'une violation de l' art. 9 Cst. , ils considèrent que se pose en premier lieu la question de savoir si l'Administration fédérale avait le pouvoir de modifier unilatéralement les informations obtenues de la Banque en y ajoutant des noms qui n'apparaissaient pas, en l'occurrence leurs noms en qualité d'héritiers. Ils n'invoquent toutefois que l'arbitraire et n'indiquent pas quelles règles ou principes propres à l'assistance administrative auraient été violés. Ils ne citent du reste même pas l' art. 18a LAAF , qui prévoit que l'assistance administrative peut être exécutée concernant des personnes décédées et que leurs successeurs en droit se voient conférer le statut de partie. En outre, ils ne s'en prennent pas directement à l'arrêt attaqué, mais font seulement grief au Tribunal administratif fédéral de ne pas s'être prononcé sur la question qu'ils soulèvent, de sorte que l'on ne sait pas si, en définitive, la question qu'ils posent se résume en une simple violation de leur droit d'être entendus. En conséquence, sur cette première question, la motivation n'est pas suffisante pour que la Cour de céans comprenne en quoi elle devrait entre en matière sous l'angle de l' art. 84a LTF .</w:t>
      </w:r>
    </w:p>
    <w:p>
      <w:r>
        <w:rPr>
          <w:b/>
        </w:rPr>
        <w:t>E. 3.2.2</w:t>
      </w:r>
    </w:p>
    <w:p>
      <w:r>
        <w:t>En lien avec la seconde question, les recourants se prévalent des art. 9, 13 et 29 Cst. Ils se demandent si l'Administration fédérale a le droit de transmettre des informations dont ils affirment qu'il aurait été prouvé qu'elles étaient erronées. Ils reprochent en particulier au Tribunal administratif fédéral d'avoir retenu que les recourants "viennent aux droits de leur père" et d'avoir ainsi procédé à une constatation inexacte et manifestement arbitraire des faits pertinents. On ne voit pas que cette problématique de nature factuelle puisse concerner une question juridique de principe. Les recourants soutiennent que tel est cependant le cas dans la mesure où la constatation inexacte porterait atteinte à un certain nombre de droits fondamentaux. Or, il ne suffit pas d'invoquer pèle-mêle la violation de droits constitutionnels sans explication circonstanciée pour remplir les exigences de motivation découlant de l' art. 42 al. 2 LTF . D'ailleurs, en lien avec la violation de droits fondamentaux, seule une violation importante, suffisamment détaillée et crédible peut conduire, le cas échéant, à considérer que la condition de recevabilité posée à l' art. 84 al. 2 LTF auquel l'art. 84a renvoie est réalisée ( ATF 145 IV 99 consid. 1.4 et 1.5).</w:t>
      </w:r>
    </w:p>
    <w:p>
      <w:r>
        <w:rPr>
          <w:b/>
        </w:rPr>
        <w:t>E. 4</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les recourants aient eu un intérêt à demander son octroi, puisque l'effet suspensif est prévu par l' art. 103 al. 2 let . d LTF (arrêts 2C_554/2021 du 26 juillet 2021 consid. 4; 2C_467/2021 du 15 juin 2021 consid. 5.2).</w:t>
      </w:r>
    </w:p>
    <w:p>
      <w:r>
        <w:rPr>
          <w:b/>
        </w:rPr>
        <w:t>E. 5</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