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2C_904/2015 vom 8. Dezember 2016</w:t>
      </w:r>
    </w:p>
    <w:p>
      <w:r>
        <w:t>Bundesgericht, 2016-12-08, FR</w:t>
      </w:r>
    </w:p>
    <w:p>
      <w:r>
        <w:rPr>
          <w:b/>
        </w:rPr>
        <w:t xml:space="preserve">Quelle: </w:t>
      </w:r>
      <w:r>
        <w:t>https://mcp.opencaselaw.ch/entscheid/bger_2C_904_2015</w:t>
      </w:r>
    </w:p>
    <w:p>
      <w:r>
        <w:t>FR: TF 2C_904/2015 du 8 décembre 2016</w:t>
      </w:r>
    </w:p>
    <w:p>
      <w:r>
        <w:t>IT: TF 2C_904/2015 del 8 dicembre 2016</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 mais in RDAF 2016 II 28; 2C_963/2014 du même jour consid. 1.3 non publié in ATF 141 II 436 , mais traduit in RDAF 2016 II 374).</w:t>
      </w:r>
    </w:p>
    <w:p>
      <w:r>
        <w:t>Selon l'Administration fédérale, l'arrêt attaqué soulève une question juridique de principe qui consiste à déterminer le type et l'étendue des renseignements qu'elle peut requérir auprès d'une banque, en particulier s'agissant de l'identification des bénéficiaires économiques effectifs d'avoirs bancaires.</w:t>
      </w:r>
    </w:p>
    <w:p>
      <w:r>
        <w:t>Ces points ont été tranchés dans les arrêts publiés aux ATF 141 II 436 et 142 II 161. Ces deux arrêts sont datés du 24 septembre 2015, ce qui correspond à la date d'expédition de l'arrêt attaqué. Or, les considérants de ces arrêts ont été communiqués postérieurement. Le Tribunal administratif fédéral ne pouvait donc pas en avoir connaissance au moment de la notification de l'arrêt entrepris, ni la recourante au moment où elle a formé recours. Il faut dès lors admettre que cette dernière était légitimée à porter à soulever ladite question de principe devant la Cour de c éans.</w:t>
      </w:r>
    </w:p>
    <w:p>
      <w:r>
        <w:rPr>
          <w:b/>
        </w:rPr>
        <w:t>E. 1.3</w:t>
      </w:r>
    </w:p>
    <w:p>
      <w:r>
        <w:t>L'Administration fédérale, qui a qualité pour recourir au sens de l' art. 89 al. 2 let. a LTF (cf. arrêt 2C_1174/2014 précité consid. 1.3 non publié), a formé recours en temps utile ( art. 100 al. 2 let. b LTF ) et dans les formes prévues ( art. 42 LTF ). Il convient donc d'entrer en matière.</w:t>
      </w:r>
    </w:p>
    <w:p>
      <w:r>
        <w:rPr>
          <w:b/>
        </w:rPr>
        <w:t>E. 2.1</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p. 22 et les références citées; arrêt 2C_216/2015 du 8 novembre 2015 consid. 1.3.2).</w:t>
      </w:r>
    </w:p>
    <w:p>
      <w:r>
        <w:rPr>
          <w:b/>
        </w:rPr>
        <w:t>E. 2.2</w:t>
      </w:r>
    </w:p>
    <w:p>
      <w:r>
        <w:t>Le Tribunal fédéral se fonde sur les faits constatés par l'autorité précédente ( art. 105 al. 1 LTF ), à moins que ceux-ci n'aient été établis de façon manifestement inexacte - notion qui correspond à celle d'arbitraire ( ATF 140 III 115 consid. 2 p. 117; 135 III 397 consid. 1.5 p. 401) - ou en violation du droit au sens de l' art. 95 LTF ( art. 105 al. 2 LTF ), et pour autant que la correction du vice soit susceptible d'influer sur le sort de la cause (cf. art. 97 al. 1 LTF ), ce qu'il incombe à la partie qui conteste les faits constatés de démontrer d'une manière circonstanciée, conformément aux exigences de motivation des art. 42 al. 2 et 106 al. 2 LTF (cf. ATF 141 I 36 consid. 1.3 p. 41; 139 I 229 consid. 2.2 p. 232; 138 I 232 consid. 3 p. 237). Par ailleurs, en vertu de l' art. 99 LTF , aucun fait nouveau ni preuve nouvelle ne peut être présenté à moins de résulter de la décision de l'autorité précédente. Partant, il ne sera pas tenu compte des faits présentés de manière appellatoire par les intimés en lien avec la manière dont s'est déroulée la procédure en France.</w:t>
      </w:r>
    </w:p>
    <w:p>
      <w:r>
        <w:rPr>
          <w:b/>
        </w:rPr>
        <w:t>E. 3</w:t>
      </w:r>
    </w:p>
    <w:p>
      <w:r>
        <w:t>Les demandes d'assistance administrative datent du 13 juin 2014 et l'Administration fédérale y a donné suite le 17 octobre 2014. L'échange de renseignements est réglé à l'art. 28 CDI CH-FR dans sa version actuelle, qui résulte de l'art. 7 de l'Avenant à la Convention conclu le 27 août 2009 (RO 2010 5683; ci-après: l'Avenant), ainsi que par le chiffre XI du Protocole additionnel, introduit par l'art. 10 de l'Avenant.</w:t>
      </w:r>
    </w:p>
    <w:p>
      <w:r>
        <w:rPr>
          <w:b/>
        </w:rPr>
        <w:t>E. 3.1</w:t>
      </w:r>
    </w:p>
    <w:p>
      <w:r>
        <w:t>Le chiffre XI du Protocole additionnel a été modifié le 25 juin 2014 par l'Accord modifiant le protocole additionnel à la Convention entre la Suisse et la France du 9 septembre 1966 modifiée, en vue d'éliminer les doubles impositions en matière d'impôts sur le revenu et sur la fortune et de prévenir la fraude et l'évasion fiscales, entré en vigueur le 30 mars 2016 (RO 2016 1195; ci-après: l'Accord 2014). L'Accord 2014 vise à assouplir les règles relatives à l'identification du contribuable et du détenteur d'informations (cf. le Message du 6 avril 2011 sur le complément aux conventions en vue d'éviter les doubles impositions approuvées par l'Assemblée fédérale le 18 juin 2010, in FF 2011 3519 ch. 2.2 et, en lien avec la CDI CH-FR, ch. 4.2; cf. aussi XAVIER OBERSON, Précis de droit fiscal international, 4</w:t>
      </w:r>
    </w:p>
    <w:p>
      <w:r>
        <w:t>e éd. 2014 p. 351 s. § 1193 s.).</w:t>
      </w:r>
    </w:p>
    <w:p>
      <w:r>
        <w:t>Selon son art. 2 par. 2 (et sous réserve des situations visées à l'art. 2 par. 3), l'Accord 2014 est applicable aux demandes d'échange de renseignements concernant toute année civile ou tout exercice commençant à compter du 1er janvier 2010.</w:t>
      </w:r>
    </w:p>
    <w:p>
      <w:r>
        <w:rPr>
          <w:b/>
        </w:rPr>
        <w:t>E. 3.2</w:t>
      </w:r>
    </w:p>
    <w:p>
      <w:r>
        <w:t>En l'espèce, la demande d'assistance litigieuse a été formée avant l'entrée en vigueur de l'Accord 2014, mais concerne les périodes fiscales 2010 à 2013. La question de savoir si cette demande doit être examinée, en vertu de l'art. 2 par. 2 de l'Accord 2014, à la lumière des dispositions modifiées du Protocole additionnel peut rester indécise, puisque ces modifications concernent des points qui n'ont pas de lien avec les aspects litigieux du cas d'espèce.</w:t>
      </w:r>
    </w:p>
    <w:p>
      <w:r>
        <w:rPr>
          <w:b/>
        </w:rPr>
        <w:t>E. 3.3</w:t>
      </w:r>
    </w:p>
    <w:p>
      <w:r>
        <w:t>Au plan interne, la LAAF est applicable (cf. art. 24 LAAF ; ATF 139 II 404 consid. 1.1 p. 408).</w:t>
      </w:r>
    </w:p>
    <w:p>
      <w:r>
        <w:rPr>
          <w:b/>
        </w:rPr>
        <w:t>E. 4</w:t>
      </w:r>
    </w:p>
    <w:p>
      <w:r>
        <w:t>En l'espèce, les juges précédents ont souligné que les demandes d'assistance administrative remplissaient les exigences formelles requises et le principe de la subsidiarité, ce qu'avaient contesté les intimés. Sur le fond, ils ont jugé que les renseignements relatifs au fait que Y.________ n'était pas connue des services fiscaux et qu'elle n'était pas inscrite au registre du commerce pouvaient être transmis à l'autorité requérante: ils remplissaient la condition de la pertinence vraisemblable (art. 28 par. 1 CDI CH-FR) et émanaient de l'Administration fiscale cantonale genevoise, de sorte que l'Administration fédérale y avait accès en vertu de l'art. 111 de la loi sur l'impôt fédéral direct (LIFD; RS 642.11) (consid. 5 et 9.2). En revanche, l' art. 127 LIFD et le principe de la proportionnalité s'opposaient à la transmission des autres renseignements requis, tous fournis par la Banque (consid. 9.3), quand bien même ils rempliraient la condition de la pertinence vraisemblable (consid. 5). Dans ces circonstances, le point de savoir si les informations concernant l'existence de mandats de gestion de la Banque respectait aussi l'exigence de la pertinence vraisemblable, ce qui n'était a priori pas le cas, pouvait rester ouvert (consid. 5 et 7).</w:t>
      </w:r>
    </w:p>
    <w:p>
      <w:r>
        <w:rPr>
          <w:b/>
        </w:rPr>
        <w:t>E. 4.1</w:t>
      </w:r>
    </w:p>
    <w:p>
      <w:r>
        <w:t>La recourante conteste l'applicabilité de l' art. 127 LIFD en l'espèce et soutient qu'elle peut obtenir les renseignements détenus par la Banque en vertu de l'art. 28 par. 5 CDI CH-FR. Elle soutient par ailleurs que tous les renseignements requis remplissent la condition de la pertinence vraisemblable, y compris ceux qui portent sur le point de savoir si la Banque était au bénéfice de mandats de gestion de Y.________ et d'avoirs détenus par Y.________.</w:t>
      </w:r>
    </w:p>
    <w:p>
      <w:r>
        <w:rPr>
          <w:b/>
        </w:rPr>
        <w:t>E. 4.2</w:t>
      </w:r>
    </w:p>
    <w:p>
      <w:r>
        <w:t>Les intimés concluent à la confirmation de l'arrêt attaqué. Ils relèvent toutefois qu'ils maintiennent que, contrairement à ce qu'a retenu le Tribunal administratif fédéral, l'autorité requérante n'a pas respecté le principe de la subsidiarité.</w:t>
      </w:r>
    </w:p>
    <w:p>
      <w:r>
        <w:rPr>
          <w:b/>
        </w:rPr>
        <w:t>E. 5</w:t>
      </w:r>
    </w:p>
    <w:p>
      <w:r>
        <w:t>L'objet principal du litige a trait au point de savoir si, comme l'a retenu le Tribunal administratif fédéral, l' art. 127 LIFD permet à la Suisse de s'opposer à la transmission des renseignements détenus par la Banque.</w:t>
      </w:r>
    </w:p>
    <w:p>
      <w:r>
        <w:rPr>
          <w:b/>
        </w:rPr>
        <w:t>E. 5.1</w:t>
      </w:r>
    </w:p>
    <w:p>
      <w:r>
        <w:t>L'assistance administrative en matière fiscale entre la Suisse et la France est régie par l'art. 28 CDI CH-FR dont le par. 5 est libellé comme suit:</w:t>
      </w:r>
    </w:p>
    <w:p>
      <w:r>
        <w:t>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w:t>
      </w:r>
    </w:p>
    <w:p>
      <w:r>
        <w:rPr>
          <w:b/>
        </w:rPr>
        <w:t>E. 5.2</w:t>
      </w:r>
    </w:p>
    <w:p>
      <w:r>
        <w:t>Dans l'arrêt publié à l' ATF 142 II 161 , la Cour de céans a jugé que le libellé de l' art. 28 par. 5 2</w:t>
      </w:r>
    </w:p>
    <w:p>
      <w:r>
        <w:t>e phrase CDI CH-FR qui exclut, par une double formulation ("nonobstant le par. 3 ou toute disposition contraire du droit interne"), que le droit interne puisse s'opposer à la transmission d'informations visées à ce paragraphe, était suffisamment clair pour être directement applicable. L'applicabilité directe de cette norme impliquait non seulement que le secret bancaire protégé aux art. 127 al. 2 LIFD et 47 de la loi fédérale du 8 novembre 1934 sur les banques (LB; RS 952.0) ne pouvait pas être opposé par la Suisse pour refuser la transmission de documents détenus par une banque, mais également que l'Administration fédérale disposait par là des pouvoirs de procédure nécessaires pour obtenir les renseignements bancaires vraisemblablement pertinents, nonobstant toute disposition de droit interne (cf. consid 4.5.1 et 4.5.2 p. 178; cf. aussi arrêts 2C_527/2015 du 3 juin 2016 consid. 4.1, résumé in Archives 85 p. 86; 2C_490/2015 du 14 mars 2016 consid. 3.2.1, résumé in Archives 84 p. 843; 2C_216/2015 précité consid. 3.3).</w:t>
      </w:r>
    </w:p>
    <w:p>
      <w:r>
        <w:rPr>
          <w:b/>
        </w:rPr>
        <w:t>E. 5.3</w:t>
      </w:r>
    </w:p>
    <w:p>
      <w:r>
        <w:t>Ainsi, contrairement à ce qu'a retenu le Tribunal administratif fédéral, l' art. 127 LIFD ne peut être invoqué par la Suisse lorsque les renseignements demandés sont couverts par le secret bancaire, puisque l'art. 28 par. 5 CDI CH-FR prévoit expressément que le droit interne ne peut s'opposer aux renseignements visés par ce paragraphe. Dans ces circonstances, il n'est pas nécessaire de trancher le point de savoir si, comme le soutient également l'Administration fédérale dans une motivation alternative, le même résultat s'imposerait si l'on examinait le cas d'espèce sous l'angle de la règle relative aux renseignements se rattachant aux "droits de propriété d'une personne" (cf. art. 28 par. 5 1</w:t>
      </w:r>
    </w:p>
    <w:p>
      <w:r>
        <w:t>e phrase 2</w:t>
      </w:r>
    </w:p>
    <w:p>
      <w:r>
        <w:t>e partie CDI CH-FR).</w:t>
      </w:r>
    </w:p>
    <w:p>
      <w:r>
        <w:rPr>
          <w:b/>
        </w:rPr>
        <w:t>E. 6</w:t>
      </w:r>
    </w:p>
    <w:p>
      <w:r>
        <w:t>Au plan matériel, la transmission de renseignements à l'autorité requérante dépend en premier lieu du point de savoir si ceux-ci remplissent la condition de la pertinence vraisemblable (cf. art. 28 par. 1 CDI CH-FR). En l'occurrence, les juges précédents ont admis que cette condition était réalisée pour l'ensemble des renseignements dont l'Administration fédérale envisageait la transmission, à l'exception de ceux concernant l'existence de mandats de gestion confiés à la Banque, qui ne paraissaient a priori pas vraisemblablement pertinents.</w:t>
      </w:r>
    </w:p>
    <w:p>
      <w:r>
        <w:rPr>
          <w:b/>
        </w:rPr>
        <w:t>E. 6.1</w:t>
      </w:r>
    </w:p>
    <w:p>
      <w:r>
        <w:t>L'Administration fédérale soutient au contraire que ces renseignements remplissent aussi la condition de la pertinence vraisemblable.</w:t>
      </w:r>
    </w:p>
    <w:p>
      <w:r>
        <w:rPr>
          <w:b/>
        </w:rPr>
        <w:t>E. 6.2</w:t>
      </w:r>
    </w:p>
    <w:p>
      <w:r>
        <w:t>L' art. 28 par. 1 1</w:t>
      </w:r>
    </w:p>
    <w:p>
      <w:r>
        <w:t>e phrase CDI-CH-FR a la teneur suivante:</w:t>
      </w:r>
    </w:p>
    <w:p>
      <w:r>
        <w:t>"Les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t>La condition de la pertinence vraisemblableest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(cf. ATF 142 II 161 précité, qui examine en détail cette condition aux consid. 2.1.1 à 2.1.4 p. 165 ss; cf. aussi arrêt 2C_289/2015 du 5 avril 2016 consid. 4.1 non publié in ATF 142 II 218 ; arrêt 2C_690/2015 du 15 mars 2016 consid. 3.2). La Cour de céans a déjà jugé que les informations concernant des comptes détenus de manière indirecte remplissaient la condition de la pertinence vraisemblable ( ATF 141 II 436 consid. 4.6 p. 446, ainsi que les consid. 6.1 à 6.3 non publiés, traduits in RDAF 2016 II 374; cf. aussi arrêts précités 2C_527/2015 consid. 5.2 in fine; 2C_216/2015 co nsid. 4.2). Elle a par ailleurs aussi jugé que les informations propres à déterminer si une société, en l'occurrence détenue par un actionnaire unique visé par une demande d'assistance administrative, disposait ou non d'une existence réelle, remplissaient la condition de la pertinence vraisemblable ( ATF 142 II 69 consid. 3.1 et 3.2 p. 75).</w:t>
      </w:r>
    </w:p>
    <w:p>
      <w:r>
        <w:rPr>
          <w:b/>
        </w:rPr>
        <w:t>E. 6.3</w:t>
      </w:r>
    </w:p>
    <w:p>
      <w:r>
        <w:t>La bonne foi d'un Etat est par ailleurs présumée.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p. 167 s.; 142 II 218 consid. 3.3 p. 228 s.).</w:t>
      </w:r>
    </w:p>
    <w:p>
      <w:r>
        <w:rPr>
          <w:b/>
        </w:rPr>
        <w:t>E. 6.4</w:t>
      </w:r>
    </w:p>
    <w:p>
      <w:r>
        <w:t>En l'occurrence, l'autorité requérante a indiqué que les demandes d'assistance administrative concernaient l'impôt sur le bénéfice ainsi que l'impôt sur le revenu des personnes visées par les demandes (à savoir les époux X.________, E.________ et F.________) et elle a précisé que les renseignements requis étaient nécessaires pour identifier le bénéficiaire réel des virements bancaires effectués sur le compte dont Y.________ était titulaire auprès de la Banque, pour établir le montant des impôts éludés en France et pour assurer la correcte imposition des bénéfices de E.________ et de F.________ en France. Dans ces circonstances, tous les renseignements requis remplissent la condition de la pertinence vraisemblable au vu de la jurisprudence déjà rendue en matière de détention indirecte de comptes bancaires (cf. supra consid. 6.3). Certes, l'autorité requérante n'a pas expliqué en quoi les renseignements concernant l'existence de mandats de gestion de Y.________ ou d'avoirs détenus par Y.________ qui auraient été confiés à la Banque serviraient le but fiscal annoncé dans les demandes. Le principe de la confiance commande toutefois en l'espèce d'admettre qu'il n'est pas exclu que ces renseignements remplissent aussi la condition de la pertinence vraisemblable. En effet, la question de savoir qui gérait Y.________ et ses avoirs présente un lien avec le point de savoir si cette entité existait réellement ou si, comme le soupçonne l'autorité requérante, elle n'a été constituée que pour former un écran destiné à dissimuler l'identité du véritable détenteur des avoirs placés au sein de la Banque.</w:t>
      </w:r>
    </w:p>
    <w:p>
      <w:r>
        <w:rPr>
          <w:b/>
        </w:rPr>
        <w:t>E. 7</w:t>
      </w:r>
    </w:p>
    <w:p>
      <w:r>
        <w:t>Les autres conditions de l'assistance administrative sont réunies en l'espèce. On peut à cet égard souligner deux points.</w:t>
      </w:r>
    </w:p>
    <w:p>
      <w:r>
        <w:rPr>
          <w:b/>
        </w:rPr>
        <w:t>E. 7.1</w:t>
      </w:r>
    </w:p>
    <w:p>
      <w:r>
        <w:t>Premièrement, c'est à bon droit que les juges précédents ont estimé que le droit interne, en l'occurrence l' art. 111 LIFD , permettait à l'Administration fédérale d'obtenir des renseignements de l'Administration fiscale cantonale genevoise. Sur le principe, la réserve en faveur du droit interne prévue à l'art. 28 par. 3 let. b CDI CH-FR a vocation à s'appliquer s'agissant des renseignements détenus par une administration fiscale cantonale, puisque ces renseignements ne relèvent pas de l'art. 28 par. 5 CDI CH-FR (qui exclut l'application du par. 3). S'agissant de l'art. 28 par. 3 let. b CDI CH-FR, la Cour de céans a déjà eu l'occasion de préciser que les renseignements qui peuvent être obtenus selon le droit et la pratique internes au sens de cette disposition sont ceux dont disposent les autorités fiscales ou que celles-ci peuvent obtenir par application de la procédure normale d'établissement de l'impôt en vertu de la LIFD ( ATF 142 II 69 consid. 4 p. 75 s.; arrêt précité 2C_690/2015 consid. 4.2). En l'occurrence, l' art. 111 al. 1 LIFD , qui règle la collaboration entre autorités fiscales fédérales et cantonales, prévoit une obligation de communiquer "toute information utile" aux autorités fiscales de la Confédération (ANDREA PEDROLI, in Commentaire romand de la LIFD; n° 4 ad art. 111 LIFD ; cf. aussi, dans le contexte de l'assistance administrative, DONATSCH/ HEIMGARTNER/MEYER/SIMONEK, Internationale Rechtshilfe, unter Einbezug der Amtshilfe im Steuerrecht, 2</w:t>
      </w:r>
    </w:p>
    <w:p>
      <w:r>
        <w:t>e éd. 2015, p. 251 s). Or, il faut admettre que si des informations remplissent la condition de la pertinence vraisemblable au sens de l'art. 28 par. 1 CDI CH-FR, ils constituent alors aussi des informations "utiles" au sens de l' art. 111 al. 1 LIFD , qui doivent partant être transmises par l'administration fiscale cantonale à l'Administration fédérale en vertu de cette disposition.</w:t>
      </w:r>
    </w:p>
    <w:p>
      <w:r>
        <w:rPr>
          <w:b/>
        </w:rPr>
        <w:t>E. 7.2</w:t>
      </w:r>
    </w:p>
    <w:p>
      <w:r>
        <w:t>Deuxièmement, c'est également à bon droit que les juges précédents ont retenu - ce que les intimés contestent dans leur mémoire de réponse en conduisant toutefois leur raisonnement sur des faits non constatés, cf. consid. 2.2 ci-dessus - que l'autorité requérante avait respecté le principe de la subsidiarité.</w:t>
      </w:r>
    </w:p>
    <w:p>
      <w:r>
        <w:t>Le ch. XI par. 1 du Protocole additionnel prévoit que l'autorité compétente de l'Etat requérant formule ses demandes de renseignements après avoir utilisé les sources habituelles de renseignements prévues par sa procédure fiscale interne. Le ch. XI par. 3 du Protocole additionnel contient la liste exhaustive des informations qui doivent figurer dans une demande d'assistance. Celle-ci ne prévoit pas que l'information selon laquelle l'Etat requérant a utilisé les sources habituelles de renseignements prévues par sa procédure fiscale interne doive y figurer. En réalité, la question du respect du principe de la subsidiarité est étroitement liée au principe de la confiance (cf. aussi ANDREA OPEL, Neuausrichtung der schweizerischen Abkommenspolitifk in Steuersachen: Amtshilfe nach dem OECD-Standard. Eine rechtliche Würdigung, 2015, p. 367). Celui-ci implique qu'à défaut d'élément concret,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Si la Suisse conçoit des doutes sérieux quant au respect du principe de la subsidiarité, le principe de la confiance ne fait en revanche pas obstacle à la possibilité de demander un éclaircissement sur ce point à l'Etat requérant.</w:t>
      </w:r>
    </w:p>
    <w:p>
      <w:r>
        <w:t>En l'occurrence, les juges précédents ont relevé à juste titre que la déclaration de l'autorité requérante selon laquelle les demandes sont conformes aux termes de la convention impliquait, en vertu de la confiance mutuelle qui doit prévaloir entre les Etats, que celle-ci avait bien épuisé toutes les sources de renseignements dont elle pouvait disposer en vertu de son droit interne au sens du ch. XI par. 1 du Protocole additionnel. Il n'y a en effet aucun motif concret permettant de douter sérieusement du respect du principe de la subsidiarité en l'espèce. Il faut partant admettre que, contrairement à ce que soutiennent les intimés, ce principe a été respecté.</w:t>
      </w:r>
    </w:p>
    <w:p>
      <w:r>
        <w:rPr>
          <w:b/>
        </w:rPr>
        <w:t>E. 8</w:t>
      </w:r>
    </w:p>
    <w:p>
      <w:r>
        <w:t>Il découle de ce qui précède que le recours doit être admis. L'arrêt attaqué est confirmé en tant qu'il approuve les premier et deuxième tirets du chiffre 2 de la décision du 17 octobre 2014 de l'Administration fédérale. Il est en revanche invalidé en tant qu'il annule les autres tirets du chiffre 2 de ladite décision. Ceux-ci sont confirmés.</w:t>
      </w:r>
    </w:p>
    <w:p>
      <w:r>
        <w:rPr>
          <w:b/>
        </w:rPr>
        <w:t>E. 9</w:t>
      </w:r>
    </w:p>
    <w:p>
      <w:r>
        <w:t>Compte tenu de l'issue du litige, les frais, fixés à 5'000 fr., sont mis à la charge des intimés, solidairement entre eux ( art. 66 al. 1 et 5 LTF ). Il ne sera pas alloué de dépens ( art. 68 al. 3 LTF ). Le Tribunal fédéral ne fera pas usage de la faculté offerte par les art. 67 et 68 al. 5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