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2C_903/2021 vom 24. November 2021</w:t>
      </w:r>
    </w:p>
    <w:p>
      <w:r>
        <w:t>Bundesgericht, 2021-11-24, FR</w:t>
      </w:r>
    </w:p>
    <w:p>
      <w:r>
        <w:rPr>
          <w:b/>
        </w:rPr>
        <w:t xml:space="preserve">Quelle: </w:t>
      </w:r>
      <w:r>
        <w:t>https://mcp.opencaselaw.ch/entscheid/bger_2C_903_2021</w:t>
      </w:r>
    </w:p>
    <w:p>
      <w:r>
        <w:t>FR: TF 2C_903/2021 du 24 novembre 2021</w:t>
      </w:r>
    </w:p>
    <w:p>
      <w:r>
        <w:t>IT: TF 2C_903/2021 del 24 novembre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Par courrier du 11 juillet 2016, A.________ a informé l'Administration fédérale qu'elle souhaitait prendre part à la procédure. A sa demande, l'Administration fédérale lui a transmis l'intégralité des pièces du dossier.</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30 octobre 2020 notifiée à A.________, a accordé l'assistance administrative requise.</w:t>
      </w:r>
    </w:p>
    <w:p>
      <w:r>
        <w:t>Par arrêt du 25 octobre 2021, le Tribunal administratif fédéral, après avoir rejeté la demande de suspension de la procédure pour autant qu'elle ne soit pas sans objet, a rejeté le recours que A.________ avait formé contre la décision finale du 30 octobre 2020 de l'Administration fédérale.</w:t>
      </w:r>
    </w:p>
    <w:p>
      <w:r>
        <w:rPr>
          <w:b/>
        </w:rPr>
        <w:t>E. 1.5</w:t>
      </w:r>
    </w:p>
    <w:p>
      <w:r>
        <w:t>A l'encontre de cet arrêt, A.________ forme un recours en matière de droit public au Tribunal fédéral. Sous suite de frais et dépens, il requiert,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 conclut, principalement, à l'annulation de l'arrêt du 25 octobre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 recourant soutient que la présente cause soulève deux questions juridiques de principe.</w:t>
      </w:r>
    </w:p>
    <w:p>
      <w:r>
        <w:rPr>
          <w:b/>
        </w:rPr>
        <w:t>E. 4.1</w:t>
      </w:r>
    </w:p>
    <w:p>
      <w:r>
        <w:t>Il fait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la recourante a donc déjà reçu une réponse.</w:t>
      </w:r>
    </w:p>
    <w:p>
      <w:r>
        <w:rPr>
          <w:b/>
        </w:rPr>
        <w:t>E. 4.2</w:t>
      </w:r>
    </w:p>
    <w:p>
      <w:r>
        <w:t>Le recourant fait ensuite valoir que la présente cause soulève la question de savoir si l'Administration fédérale avait le droit de prendre une décision sur la base d'éléments auxquels il n'avait pas eu accès, à savoir une déclaration des autorités fiscales allemandes faite dans le cadre d'une procédure d'assistance administrative en cours, une prise de position soumise par B.________ dans le cadre d'une enquête en cours diligentée par le Ministère public de la Confédération, ainsi que le mandat de perquisition émis par le Parquet de Bochum le 3 juillet 2013. Selon lui, ces pièces auraient été utilisées à son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150 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des violations de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 du recourant ait été violé. Contrairement à ce qu'ils soutenaient, le contenu des pièces qu'il prétend ne pas avoir pu consulter ressortait explicitement de la décision finale du 30 octobre 2020 de l'Administration fédérale. Dès lors, il n'était pas déterminant de savoir si ces éléments figuraient également dans d'autres documents qui auraient été soustraits à l'appréciation de la recourante. En outre, ces pièces n'avaient aucune incidence sur l'évaluation des conditions matérielles de la demande d'assistance administrative litigieuse. En effet, la demande d'assistance administrative litigieuse se fondait sur les données trouvées lors des perquisitions effectuées dans les succursales allemandes de la banque B.________, qui avaient été communiquées à la France selon une procédure légale, en application de la Directive 2011/16/UE.</w:t>
      </w:r>
    </w:p>
    <w:p>
      <w:r>
        <w:t>Cette appréciation correspond à celle du Tribunal fédéral (arrêt 2C_320/2021 du 30 avril 2021 consid. 4.2).</w:t>
      </w:r>
    </w:p>
    <w:p>
      <w:r>
        <w:rPr>
          <w:b/>
        </w:rPr>
        <w:t>E. 5.2</w:t>
      </w:r>
    </w:p>
    <w:p>
      <w:r>
        <w:t>Dans leur recours au Tribunal fédéral, le recourant se limite à critiquer l'appréciation des juges précédents. Son grief ne permet toutefois pas de démontrer de manière suffisamment détaillée et crédible une violation de son droit d'être entendu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 recourant ait eu un intérêt à demander son octroi, puisque l'effet suspensif est prévu par l' art. 103 al. 2 let . d LTF (arrêts 2C_554/2021 du 26 juillet 2021 consid. 4; 2C_467/2021 du 15 juin 2021 consid. 5.2).</w:t>
      </w:r>
    </w:p>
    <w:p>
      <w:r>
        <w:rPr>
          <w:b/>
        </w:rPr>
        <w:t>E. 7</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