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2C_898/2018 vom 30. Januar 2019</w:t>
      </w:r>
    </w:p>
    <w:p>
      <w:r>
        <w:t>Bundesgericht, 2019-01-30, FR</w:t>
      </w:r>
    </w:p>
    <w:p>
      <w:r>
        <w:rPr>
          <w:b/>
        </w:rPr>
        <w:t xml:space="preserve">Quelle: </w:t>
      </w:r>
      <w:r>
        <w:t>https://mcp.opencaselaw.ch/entscheid/bger_2C_898_2018</w:t>
      </w:r>
    </w:p>
    <w:p>
      <w:r>
        <w:t>FR: TF 2C_898/2018 du 30 janvier 2019</w:t>
      </w:r>
    </w:p>
    <w:p>
      <w:r>
        <w:t>IT: TF 2C_898/2018 del 30 gennaio 2019</w:t>
      </w:r>
    </w:p>
    <w:p>
      <w:pPr>
        <w:pStyle w:val="Heading2"/>
      </w:pPr>
      <w:r>
        <w:t>Erwägungen</w:t>
      </w:r>
    </w:p>
    <w:p>
      <w:r>
        <w:rPr>
          <w:b/>
        </w:rPr>
        <w:t>E. 1</w:t>
      </w:r>
    </w:p>
    <w:p>
      <w:r>
        <w:t>Le présent litige concerne l'interdiction faite à l'avocat recourant de représenter trois clients dans quatre procédures en raison d'un conflit d'intérêts prohibé par l' art. 12 let . c de la loi fédérale du 23 juin 2000 sur la libre circulation des avocats (LLCA; RS 935.61), qui relève du droit public au sens de l' art. 82 let. a LTF .</w:t>
      </w:r>
    </w:p>
    <w:p>
      <w:r>
        <w:t>Dirigé contre une décision finale ( art. 90 LTF ) rendue par un tribunal supérieur statuant en dernière instance cantonale ( art. 86 al. 1 let . d et al. 2 LTF), le recours a été déposé en temps utile ( art. 100 al. 1 LTF ) et dans les formes prescrites ( art. 42 LTF ) par le destinataire de l'arrêt attaqué qui a un intérêt digne de protection à son annulation ou à sa modification ( art. 89 al. 1 LTF ). En outre, il ne tombe pas sous le coup des exceptions mentionnées à l' art. 83 LTF . Par conséquent, il convient d'entrer en matière et de déclarer le recours constitutionnel subsidiaire irrecevable ( art. 113 LTF</w:t>
      </w:r>
    </w:p>
    <w:p>
      <w:r>
        <w:t>a contrario ).</w:t>
      </w:r>
    </w:p>
    <w:p>
      <w:r>
        <w:rPr>
          <w:b/>
        </w:rPr>
        <w:t>E. 2</w:t>
      </w:r>
    </w:p>
    <w:p>
      <w:r>
        <w:t>Comme le relève le recourant, c'est l'arrêt du Tribunal cantonal du 3 septembre 2018 qui représente l'objet de la contestation (cf. ATF 142 I 155 consid. 4.4.2 p. 156). En outre, la décision incidente du Tribunal cantonal du 15 juillet 2016 (cf. arrêt 2C_849/2016 du 20 septembre 2016 consid. 3.3) pourrait également être contestée dans la présente procédure de recours contre la décision finale (cf. art. 93 al. 3 LTF ), même si, comme en l'espèce, un recours contre cette décision incidente a été déclaré irrecevable par le Tribunal fédéral ( ATF 131 III 87 consid. 3.3 p. 90; arrêt 2C_653/2014 du 15 janvier 2015 consid. 1). Le recourant ne s'en prend toutefois pas à cette décision incidente. Il cite uniquement l'arrêt du 3 septembre 2018 comme étant l'arrêt attaqué sur la première page de son recours, ainsi qu'à de multiples reprises dans sa motivation, et n'a joint que cet arrêt à son recours (cf. art. 42 al. 3 LTF ). Certes, il se plaint de ce que le Tribunal cantonal est entré en matière sur le recours de l'un des copropriétaires dans son arrêt de renvoi du 15 juillet 2016. Or, même si l'on devait traiter ce grief, force serait de constater que celui-ci a trait à l'application du droit de procédure cantonal et que le recourant ne l'a pas motivé à suffisance, présentant ses arguments de manière appellatoire, sans aucunement démontrer en quoi l'application du droit cantonal par l'autorité précédente serait arbitraire ( art. 106 al. 2 LTF ; cf. consid. 3.2 et 4 ci-dessous).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3.2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4</w:t>
      </w:r>
    </w:p>
    <w:p>
      <w:r>
        <w:t>Le recourant invoque à plusieurs reprises un établissement inexact des faits. Il ne motive toutefois nullement à suffisance ce grief, se contentant bien plus de présenter ses propres vision et appréciation des faits et de les opposer à celles de l'autorité précédente. Une telle manière de procéder ne respecte pas les conditions de motivation posées par l' art. 106 al. 2 LTF , raison pour laquelle le Tribunal fédéral vérifiera la correcte application du droit sur la seule base des faits retenus par l'autorité précédente.</w:t>
      </w:r>
    </w:p>
    <w:p>
      <w:r>
        <w:t>Par ailleurs, le recourant, citant l' art. 29 Cst. , invoque également une violation de son droit d'être entendu et du principe de la bonne foi. Toutefois, ces griefs ne sont pas motivés à suffisance. On ne perçoit au demeurant pas en quoi le Tribunal cantonal aurait été l'auteur de telles violations. S'agissant de droits constitutionnels soumis à une motivation accrue au sens de l' art. 106 al. 2 LTF , on ne peut donc qu'écarter ces griefs. Il en va par ailleurs de même en tant que le recourant se plaint d'une mauvaise application du droit de procédure cantonal, que ce soit en relation avec une question de force de chose jugée, de réexamen ou d'appel en cause. Outre qu'il se fonde en grande partie sur des faits qui ne ressortent pas de l'arrêt entrepris, il ne démontre pas à suffisance en quoi cette application serait arbitraire ou contraire à un autre droit constitutionnel ( art. 106 al. 2 LTF ).</w:t>
      </w:r>
    </w:p>
    <w:p>
      <w:r>
        <w:rPr>
          <w:b/>
        </w:rPr>
        <w:t>E. 5.1</w:t>
      </w:r>
    </w:p>
    <w:p>
      <w:r>
        <w:t>En définitive, la motivation du recourant, développée sur une cinquantaine de pages, consiste à soutenir qu'il n'existe pas de conflit d'intérêts lorsqu'un avocat représente d'une part une propriété par étages contre deux des quatre copropriétaires dans deux procédures différentes et, d'autre part, les deux derniers copropriétaires contre les deux copropriétaires opposés à la propriété par étages, dans deux autres procédures. Il est en substance d'avis que les différentes procédures ne présentent aucune connexité entre elles et qu'à aucun moment, il n'a utilisé des informations dont il a eu connaissance dans le cadre d'une procédure pour favoriser son client dans une autre. Il conteste également avoir mélangé certaines opérations effectuées en faveur de la propriété par étages et d'autres effectuées en faveur de ses clients copropriétaires.</w:t>
      </w:r>
    </w:p>
    <w:p>
      <w:r>
        <w:rPr>
          <w:b/>
        </w:rPr>
        <w:t>E. 5.2</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2C_688/2009 du 25 mars 2010 consid. 3.1, in SJ 2010 I p. 433). Elle est en lien avec la clause générale de l' art. 12 let. a LLCA , selon laquelle l'avocat exerce sa profession avec soin et diligence, de même qu'avec l'obligation d'indépendance figurant à l' art. 12 let. b LLCA ( ATF 134 II 108 consid. 3 p. 110). Le Tribunal fédéral a souvent rappelé que l'avocat a notamment le devoir d'éviter la double représentation, c'est-à-dire le cas où il serait amené à défendre les intérêts opposés de deux parties à la fois ( ATF 135 II 145 consid. 9.1 p. 154 et les références), car il n'est alors plus en mesure de respecter pleinement son obligation de fidélité et son devoir de diligence envers chacun de ses clients (arrêt 2C_688/2009 du 25 mars 2010 consid. 3.1, in SJ 2010 I p. 433).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susceptible d'entraîner un tel conflit d'intérêts (arrêt 2C_45/2016 du 11 juillet 2016 consid. 2.2 et les références). Toutefois, un risque purement abstrait ou théorique ne suffit pas, le risque devant être concret (arrêt 2C_45/2016 du 11 juillet 2016 consid. 2.2 et les références).</w:t>
      </w:r>
    </w:p>
    <w:p>
      <w:r>
        <w:rPr>
          <w:b/>
        </w:rPr>
        <w:t>E. 5.3</w:t>
      </w:r>
    </w:p>
    <w:p>
      <w:r>
        <w:t>Il ressort en particulier de l'arrêt entrepris que le recourant est mandaté par la propriété par étages pour recouvrer les charges impayées de copropriété auprès de deux des quatre copropriétaires. Simultanément, il est mandaté par les deux autres copropriétaires pour les représenter dans des actions civiles ouvertes contre les deux copropriétaires opposés à la propriété par étages. Par ailleurs, il ressort également de cet arrêt que le recourant admet des erreurs de facturation et que la liste des opérations du recourant ne permet que difficilement de savoir à quelle procédure ces opérations se rapportent. Le Tribunal cantonal a au demeurant constaté, outre un état de désorganisation dans les nombreux et volumineux dossiers produits par le recourant, dépourvus de tout bordereau, qu'avec ces erreurs de facturation, certains copropriétaires se sont trouvés dans la situation de financer des procédures dirigées contre eux par d'autres copropriétaires à titre individuel. Certains frais ont en effet été facturés à tort à la propriété par étages.</w:t>
      </w:r>
    </w:p>
    <w:p>
      <w:r>
        <w:rPr>
          <w:b/>
        </w:rPr>
        <w:t>E. 5.4</w:t>
      </w:r>
    </w:p>
    <w:p>
      <w:r>
        <w:t>En premier lieu, et contrairement à l'avis du recourant, on doit retenir qu'il existe matériellement différents liens de connexité entre les procédures menées par celui-ci. Chacune d'entre elles concernent en effet directement ou indirectement (à travers la propriété par étages) les mêmes personnes. Toutes ont également pour objet l'immeuble dont ces personnes sont copropriétaires. Il n'est ainsi nullement contraire à la LLCA de juger, comme l'a fait le Tribunal cantonal, que le recourant est mis en situation de disposer d'informations acquises dans le cadre des mandats conduits pour la propriété par étages pour les utiliser dans les procédures menées pour ses clients copropriétaires. Il ne faut pas perdre de vue que les deux copropriétaires qui sont opposés aux mandants du recourants sont aussi les mandants de celui-ci dans les procédures menées par la propriété par étages. Le fait que le recourant ait effectivement disposé et utilisé des informations obtenues dans l'une des procédures pour favoriser ses clients dans l'autre n'est pas pertinent. La connexité de ces procédures est suffisamment importante pour que le risque ne soit pas simplement abstrait, mais qu'il existe véritablement la possibilité d'utiliser, consciemment ou non, des connaissances acquises sous couvert du secret professionnel dans différents mandats. Certes, les copropriétaires opposés à la propriété par étages sont les mêmes que ceux opposés aux deux autres mandants du recourant. Si on ne peut que reconnaître avec l'autorité précédente qu'une représentation de la propriété par étages contre l'un ou l'autre des copropriétaires est possible, la conjonction de toutes ces procédures créée toutefois un risque de conflit d'intérêts effectif. Ce risque est d'ailleurs concrétisé, comme cela ressort des constatations de fait effectuées par le Tribunal cantonal. Celui-ci a en effet relevé que le recourant s'est trouvé à facturer par mégarde à la propriété par étages des opérations qui ne la concernaient pas, mais qui avaient trait à ses copropriétaires.</w:t>
      </w:r>
    </w:p>
    <w:p>
      <w:r>
        <w:rPr>
          <w:b/>
        </w:rPr>
        <w:t>E. 5.5</w:t>
      </w:r>
    </w:p>
    <w:p>
      <w:r>
        <w:t>Sur le vu de ce qui précède, c'est par conséquent à bon droit que le Tribunal cantonal a jugé que le recourant, en acceptant tous les mandats relatifs, de près ou de loin, à la propriété par étages, n'avait pas évité tout conflit entre les intérêts de ses clients et ceux de personnes avec lesquelles il était en relation sur le plan professionnel, violant de ce fait l' art. 12 let . c LLCA. Le grief tiré de la violation de cette disposition doit par conséquent être écarté.</w:t>
      </w:r>
    </w:p>
    <w:p>
      <w:r>
        <w:rPr>
          <w:b/>
        </w:rPr>
        <w:t>E. 6</w:t>
      </w:r>
    </w:p>
    <w:p>
      <w:r>
        <w:t>Le recourant invoque encore le principe de l'égalité de traitement, ainsi que sa liberté économique.</w:t>
      </w:r>
    </w:p>
    <w:p>
      <w:r>
        <w:rPr>
          <w:b/>
        </w:rPr>
        <w:t>E. 6.1</w:t>
      </w:r>
    </w:p>
    <w:p>
      <w:r>
        <w:t>La liberté économique est un droit fondamental dont l'examen par le Tribunal fédéral n'intervient que si le grief est invoqué et motivé à suffisance par le recourant ( art. 106 al. 2 LTF ). Or, celui-ci se contente de relever qu'en lui faisant interdiction de postuler dans les quatre affaires concernées par la présente procédure en raison d'un conflit d'intérêt, le Tribunal cantonal a violé sa liberté économique. Une telle motivation ne remplit nullement les conditions de l' art. 106 al. 2 LTF . Au demeurant, on doit retenir que l'atteinte portée à la liberté économique du recourant par l'arrêt entrepris remplit à l'évidence les conditions de l' art. 36 Cst. (cf. à ce propos, arrêt 2C_688/2009 du 25 mars 2010 consid. 3.6), si bien qu'il convient de toute façon d'écarter son grief.</w:t>
      </w:r>
    </w:p>
    <w:p>
      <w:r>
        <w:rPr>
          <w:b/>
        </w:rPr>
        <w:t>E. 6.2</w:t>
      </w:r>
    </w:p>
    <w:p>
      <w:r>
        <w:t>Le recourant estime qu'en lui interdisant de représenter ses clients dans les quatre procédures en cause, le Tribunal cantonal lui a consacré un traitement différent que la Chambre des avocats du canton de Vaud dans sa décision du 30 novembre 2015, alors qu'il est question de situations identiques. Il ne saurait être suivi. Outre que ce sont deux autorités qui ont statué sur les causes citées par le recourant, le Tribunal cantonal ne s'étant pas prononcé deux fois sur la même situation, ce qui exclu de lui reprocher d'avoir traité deux situations semblables de manière différente, on doit faire remarquer au recourant que les situations dont il parle ne sont de toute façon pas semblables. Il ressort des faits contenus dans l'arrêt entrepris que la décision de la Chambre des avocats du canton de Vaud du 30 novembre 2015 faisait suite à des dénonciations croisées du recourant et d'un de ses confrères représentant l'un des copropriétaires. Cette cause n'avait ainsi pas trait à l'ensemble des procédures dans lesquelles le recourant agissait comme avocat et qui ont donné lieu à la présente cause. Le grief de violation du principe de l'égalité de traitement doit en conséquence également être écarté.</w:t>
      </w:r>
    </w:p>
    <w:p>
      <w:r>
        <w:rPr>
          <w:b/>
        </w:rPr>
        <w:t>E. 6.3</w:t>
      </w:r>
    </w:p>
    <w:p>
      <w:r>
        <w:t>Pour le surplus, les éventuelles autres critiques contenues dans le mémoire de recours, faute de se fonder sur des faits retenus par l'autorité précédente ou d'être motivées conformément aux exigences de l' art. 106 al. 2 LTF , doivent être écartées.</w:t>
      </w:r>
    </w:p>
    <w:p>
      <w:r>
        <w:rPr>
          <w:b/>
        </w:rPr>
        <w:t>E. 7</w:t>
      </w:r>
    </w:p>
    <w:p>
      <w:r>
        <w:t>Les considérants qui précèdent conduisent au rejet du recours en matière de droit public.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