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896/2014 vom 25. April 2015</w:t>
      </w:r>
    </w:p>
    <w:p>
      <w:r>
        <w:t>Bundesgericht, 2015-04-25, DE</w:t>
      </w:r>
    </w:p>
    <w:p>
      <w:r>
        <w:rPr>
          <w:b/>
        </w:rPr>
        <w:t xml:space="preserve">Quelle: </w:t>
      </w:r>
      <w:r>
        <w:t>https://mcp.opencaselaw.ch/entscheid/bger_2C_896_2014</w:t>
      </w:r>
    </w:p>
    <w:p>
      <w:r>
        <w:t>FR: TF 2C 896/2014 du 25 avril 2015</w:t>
      </w:r>
    </w:p>
    <w:p>
      <w:r>
        <w:t>IT: TF 2C 896/2014 del 25 aprile 2015</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 Beschwerde ist zulässig und der Beschwerdeführer, der mit seinen Anträgen im vorinstanzlichen Verfahren unterlegen ist, dazu legitimiert ( Art. 89 Abs. 1 BGG ). Auf die Beschwerde ist, vorbehältlich der Erfüllung der Rüge- und Begründungspflicht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die Vorinstanz habe Bundes- sowie Bundesverfassungsrecht unrichtig angewendet, indem sie keine eigentliche Verhältnismässigkeitsprüfung des Einzelfalles vorgenommen habe, was jedoch sowohl gemäss Art. 96 Abs. 1 AuG wie auch gemäss Art. 5 BV Voraussetzung für den Widerruf der Niederlassungsbewilligung sei. Er habe nicht nur die gesamte Schulzeit in der Schweiz verbracht und seine Lehre abgeschlossen, sondern überhaupt seine gesamte Kindheit. Die Rückfallgefahr und die günstige Prognose seien, entgegen den vorinstanzlichen Erwägungen, in die Interessenabwägung miteinzubeziehen. Bei dieser Interessenabwägung sei weder von einer schweren Straffälligkeit noch von einem Gewaltdelikt oder von wiederholter Straffälligkeit auszugehen; die begangenen Taten seien vielmehr als eine Handlungseinheit zu betrachten, welche auf seine Spielsucht zurückzuführen seien. Der Widerruf seiner Niederlassungsbewilligung sei einzig aus generalpräventiven Überlegungen erfolgt. Indem die Vorinstanz dieses Interesse auch als überwiegend erachtete, habe sie keine eigentliche Güterabwägung vorgenommen, weshalb der Verhältnismässigkeitsgrundsatz verletzt worden sei.</w:t>
      </w:r>
    </w:p>
    <w:p>
      <w:r>
        <w:rPr>
          <w:b/>
        </w:rPr>
        <w:t>E. 2.1</w:t>
      </w:r>
    </w:p>
    <w:p>
      <w:r>
        <w:t>Mit seiner Verurteilung zu einer Freiheitsstrafe von 36 Monaten hat der Beschwerdeführer den Widerrufsgrund von Art. 63 Abs. 2 AuG in Verbindung mit Art. 62 lit. b AuG gesetzt. Keine Rolle spielt, ob die Sanktion bedingt, teilbedingt oder unbedingt ausgefällt worden ist ( BGE 139 I 31 E. 2.1 S. 32). Zu prüfen ist, ob sich diese aufenthaltsbeendende Massnahme als verhältnismässig erweist (Art. 96 AuG; Art. 5 Abs. 2 BV ).</w:t>
      </w:r>
    </w:p>
    <w:p>
      <w:r>
        <w:rPr>
          <w:b/>
        </w:rPr>
        <w:t>E. 2.2</w:t>
      </w:r>
    </w:p>
    <w:p>
      <w:r>
        <w:t>Die nach innerstaatlichem Recht für jegliche staatliche Massnahmen ( Art. 5 Abs. 2 BV ) durchzuführende Verhältnismässigkeitsprüfung stellt auf die Schwere des Delikts, das Verschulden des Betroffenen, den seit der Tat vergangenen Zeitraum, sein Verhalten während diesem, den Grad seiner Integration bzw. die Dauer der bisherigen Anwesenheit sowie die ihm und seiner Familie drohenden Nachteile ab ( BGE 139 II 121 E. 6.5.1 S. 132 ; 139 I 145 E. 2.4 S. 149). Generalpräventive Gesichtspunkte dürfen berücksichtigt werden, sofern die ausländische Person vom Anwendungsbereich des Abkommens zwischen der Schweizerischen Eidgenossenschaft einerseits und der Europäischen Gemeinschaft und ihren Mitgliedstaaten andererseits über die Freizügigkeit vom 21. Juni 1999 (FZA; SR 0.142.112.681) ausgenommen ist ( BGE 136 II 5 E. 4.2 S. 20; 130 II 176 E. 3.4.1, Urteil 2C_245/2014 vom 28. Mai 2014 E. 3.2.1). Die Interessen, welche dabei gegeneinander abgewogen werden, entsprechen grundsätzlich denjenigen, welche im Rahmen (des im vorliegenden Beschwerdeverfahrens nicht als verletzt und daher nicht zu prüfenden) Art. 8 Ziff. 2 EMRK berücksichtigt werden (Urteil 2C_718/2013 vom 27. Februar 2014 E. 3.1, mit weiteren Hinweisen).</w:t>
      </w:r>
    </w:p>
    <w:p>
      <w:r>
        <w:rPr>
          <w:b/>
        </w:rPr>
        <w:t>E. 2.3</w:t>
      </w:r>
    </w:p>
    <w:p>
      <w:r>
        <w:t>Treten Jugendliche oder junge Erwachsene, die im Aufnahmestaat sozialisiert worden sind, strafrechtlich in Erscheinung, so besteht im Falle überwiegend nicht gewalttätiger Delikte grundsätzlich nur wenig Raum für eine Aufenthaltsbeendigung. Diese Altersgruppe lässt sich in ihrer Entwicklung noch wesentlich beeinflussen und die meisten der "Frühdelinquenten" werden nicht mehr straffällig, weshalb ihre Wiedereingliederung im Vordergrund steht (vgl. zu jungen Erwachsenen insbesondere STRATENWERTH/WOHLERS, Handkommentar zum Schweizerischen Strafgesetzbuch, 3. Aufl. 2013, N. 1 zu Art. 61 StGB ; TRECHSEL/ BORER, in: Praxiskommentar zum Strafgesetzbuch, 2. Aufl. 2013, N. 4 zu Art. 61 StGB ; Botschaft vom 21. September 1998 zur Änderung des Schweizerischen Strafgesetzbuches [Allgemeine Bestimmungen, Einführung und Anwendung des Gesetzes] und des Militärstrafgesetzes sowie zu einem Bundesgesetz über das Jugendstrafrecht, BBl 1999 2081). Das Wohl eines Jugendlichen oder eines jungen Erwachsenen und dessen Wiedereingliederungschancen, die gefährdet erscheinen, wenn die familiären und sozialen Banden aufgelöst werden und er im Aufnahmestaat seine Wurzeln verliert, sind bei der Interessenabwägung jeweils von besonderem, aber nicht allein ausschlaggebendem Gewicht, falls den Jugendlichen oder den jungen Erwachsenen mit seinem Heimatstaat nicht mehr verbindet als lediglich (noch) seine reine (weitgehend nicht mehr gelebte) Staatsbürgerschaft (Urteile 2C_166/2013 vom 12. November 2013 E. 2.3; 2C_224/2013 vom 27. November 2013 E. 2.3; für eine Übersicht über die Rechtsprechung zur Interessenabwägung bei Ausländern der zweiten Generation vgl. Urteil 2C_28/2012 vom 18. Juli 2012 E. 3.4). Handelt es sich bei den begangenen Straftaten jedoch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(Urteile 2C_445/2014 vom 2. Dezember 2014 E. 2.5; 2C_547/2011 vom 28. November 2011 E. 5).</w:t>
      </w:r>
    </w:p>
    <w:p>
      <w:r>
        <w:rPr>
          <w:b/>
        </w:rPr>
        <w:t>E. 2.4</w:t>
      </w:r>
    </w:p>
    <w:p>
      <w:r>
        <w:t>Der Beschwerdeführer ist wegen 69 bandenmässigen Einbruchdiebstählen bzw. -diebstahlsversuchen, zwei Einbruchdiebstählen bzw. -diebstahlsversuchen und 24 Einschleichdiebstählen und somit total für 95 Diebstähle, begangen im Zeitraum zwischen März 2008 und November 2009, zu einer Freiheitsstrafe von 36 Monaten verurteilt worden. Das Richteramt Bucheggberg-Wasseramt erachtete den Beschwerdeführer zwar als schuldfähig, hielt jedoch fest, dass diese Delikte überwiegend zur Finanzierung von Glücksspielen in Casinos und von Sportwetten begangen worden seien. Die begangenen Rechtsgutsverletzungen wie auch das Verschulden des Beschwerdeführers wiegen schwer und können sicher nicht mehr als geringfügige Delinquenz bezeichnet werden, wenngleich ausschliesslich unbewohnte Objekte betroffen waren. Besonders zu berücksichtigen ist jedoch, dass es sich beim Beschwerdeführer um einen Angehörigen der zweiten Generation handelt, deren Aufenthalt angesichts ihrer besonderen Verwurzelung in den hiesigen Verhältnissen nur mit besonderer Zurückhaltung beendet wird. Der Beschwerdeführer war zum Zeitpunkt der Tatbegehung zwischen 19 und 21 Jahre alt und gilt somit als junger Erwachsener. Gemäss der vorinstanzlichen Sachverhaltsfeststellung hat er sich während den Einvernahmen durch die Polizei kooperativ und geständig gezeigt, seine Strafe verbüsst und arbeitet mittlerweile sehr gut mit der Bewährungshelferin zusammen. Für die den Geschädigten durch die Straftaten zugefügten Vermögensschäden ist er vollumfänglich aufgekommen. Er vermochte sich darüber hinaus auch wieder in die Arbeitswelt zu integrieren. Die Wiedereingliederung des Beschwerdeführers, dessen gesamtes familiäres, soziales und berufliches Umfeld sich in der Schweiz befindet, kann damit als gelungen bezeichnet werden und wäre bei einer Ausreise in seinen Heimatstaat, den er im Alter von zwei Jahren verlassen hat, gefährdet. Ins Gewicht fällt weiter, dass der Beschwerdeführer nie von der Sozialhilfe unterstützt werden musste und nicht im Betreibungsregister verzeichnet ist. Ungeachtet dessen, ob der Beschwerdeführer kaum oder überhaupt kein Bosnisch spricht, verbindet ihn mit seinem Heimatstaat nicht mehr viel mehr als eine blosse Staatsbürgerschaft. Das besondere Gewicht, welches der Wiedereingliederung von straffällig gewordenen Jugendlichen oder jungen Erwachsenen zukommt, begründet, zusammen mit den übrigen, für ihn positiv zu wertenden Elementen wie dem Umstand, dass der Beschwerdeführer hier aufgewachsen ist, seine Deliktserie, die im November 2009 und damit vor rund fünf Jahren endete, ein einmaliger, als junger Erwachsener begangener Vorfall blieb und zu einer einmaligen Verurteilung führte, er sich seit November 2009, wiewohl weitgehend in Freiheit, sich klaglos verhalten, den Schaden wiedergutgemacht und sich beruflich integriert hat, ein überwiegendes privates Interesse des Beschwerdeführers daran, in der Schweiz zu verbleiben.</w:t>
      </w:r>
    </w:p>
    <w:p>
      <w:r>
        <w:rPr>
          <w:b/>
        </w:rPr>
        <w:t>E. 2.5</w:t>
      </w:r>
    </w:p>
    <w:p>
      <w:r>
        <w:t>Der Widerruf der Niederlassungsbewilligung des Beschwerdeführers erweist sich demzufolge als unverhältnismässig. Er ist aber mit Nachdruck darauf hinzuweisen, dass ein Widerruf jederzeit möglich bleibt, sollte er erneut delinquieren oder durch sein Verhalten einen anderen Widerrufsgrund setzen. Als Rechtsfolge rechtfertigt sich demnach eine Verwarnung; der Beschwerdeführer wird hiermit ausdrücklich verwarnt (Art. 96 Abs. 2 AuG; vgl. BGE 139 I 145 E. 3.9 S. 154; Urteil 2C_1000/2013 vom 20. Juli 2014 E. 3.3.3; 2C_935/2012 vom 14. Januar 2013 E. 6.2).</w:t>
      </w:r>
    </w:p>
    <w:p>
      <w:r>
        <w:rPr>
          <w:b/>
        </w:rPr>
        <w:t>E. 3</w:t>
      </w:r>
    </w:p>
    <w:p>
      <w:r>
        <w:t>Die Beschwerde wird gutgeheissen, das angefochtene Urteil aufgehoben und eine Verwarnung ausgesprochen. Bei diesem Verfahrensausgang werden keine Gerichtskosten erhoben ( Art. 66 Abs. 4 BGG ). Der Kanton Solothurn hat dem Beschwerdeführer für das bundesgerichtliche und das vorinstanzliche Verfahren eine Parteientschädigung von Fr. 3'500.--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