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2C_895/2020 vom 18. Januar 2021</w:t>
      </w:r>
    </w:p>
    <w:p>
      <w:r>
        <w:t>Bundesgericht, 2021-01-18, DE</w:t>
      </w:r>
    </w:p>
    <w:p>
      <w:r>
        <w:rPr>
          <w:b/>
        </w:rPr>
        <w:t xml:space="preserve">Quelle: </w:t>
      </w:r>
      <w:r>
        <w:t>https://mcp.opencaselaw.ch/entscheid/bger_2C_895_2020</w:t>
      </w:r>
    </w:p>
    <w:p>
      <w:r>
        <w:t>FR: TF 2C_895/2020 du 18 janvier 2021</w:t>
      </w:r>
    </w:p>
    <w:p>
      <w:r>
        <w:t>IT: TF 2C_895/2020 del 18 gennaio 2021</w:t>
      </w:r>
    </w:p>
    <w:p>
      <w:pPr>
        <w:pStyle w:val="Heading2"/>
      </w:pPr>
      <w:r>
        <w:t>Erwägungen</w:t>
      </w:r>
    </w:p>
    <w:p>
      <w:r>
        <w:rPr>
          <w:b/>
        </w:rPr>
        <w:t>E. 1</w:t>
      </w:r>
    </w:p>
    <w:p>
      <w:r>
        <w:t>Am 27. Oktober 2020 erhob A.________ Beschwerde in öffentlich-rechtlichen Angelegenheiten gegen die Änderung vom 23. Oktober 2020 von Art. 4d der Verordnung des Regierungsrates des Kantons Bern vom 9. Juli 2020 über Massnahmen zur Bekämpfung der Covid-19-Epidemie. Mit Vernehmlassung vom 12. November 2020 beantragte der Kanton Bern die Abschreibung des Verfahrens zufolge Gegenstandslosigkeit, weil die umstrittene Änderung mit Beschluss des Regierungsrates vom 4. November 2020 dahingefallen sei. Der Beschwerdeführer schloss sich der Abschreibung des Verfahrens mit Eingabe vom 8. Januar 2021 an und beantragte, es sei auf eine Kostenerhebung zu verzichten.</w:t>
      </w:r>
    </w:p>
    <w:p>
      <w:r>
        <w:rPr>
          <w:b/>
        </w:rPr>
        <w:t>E. 2</w:t>
      </w:r>
    </w:p>
    <w:p>
      <w:r>
        <w:t>Die angefochtene Änderung vom 23. Oktober 2020 ist per 5. November 2020 ausser Kraft getreten. Der Streitgegenstand ist folglich dahingefallen. Nachdem der Beschwerdeführer nicht geltend macht, dass dennoch ausnahmsweise ein Interesse an der Beurteilung der Beschwerde bestehe, ist das Verfahren durch den Abteilungspräsidenten als Instruktionsrichter im einzelrichterlichen Verfahren als gegenstandslos geworden abzuschreiben ( Art. 32 Abs. 1 und 2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