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2C_893/2019 vom 25. Mai 2020</w:t>
      </w:r>
    </w:p>
    <w:p>
      <w:r>
        <w:t>Bundesgericht, 2020-05-25, FR</w:t>
      </w:r>
    </w:p>
    <w:p>
      <w:r>
        <w:rPr>
          <w:b/>
        </w:rPr>
        <w:t xml:space="preserve">Quelle: </w:t>
      </w:r>
      <w:r>
        <w:t>https://mcp.opencaselaw.ch/entscheid/bger_2C_893_2019</w:t>
      </w:r>
    </w:p>
    <w:p>
      <w:r>
        <w:t>FR: TF 2C_893/2019 du 25 mai 2020</w:t>
      </w:r>
    </w:p>
    <w:p>
      <w:r>
        <w:t>IT: TF 2C_893/2019 del 25 maggio 2020</w:t>
      </w:r>
    </w:p>
    <w:p>
      <w:pPr>
        <w:pStyle w:val="Heading2"/>
      </w:pPr>
      <w:r>
        <w:t>Erwägungen</w:t>
      </w:r>
    </w:p>
    <w:p>
      <w:r>
        <w:rPr>
          <w:b/>
        </w:rPr>
        <w:t>E. 1.1</w:t>
      </w:r>
    </w:p>
    <w:p>
      <w:r>
        <w:t>L'arrêt attaqué est une décision rendue dans une cause de droit public par une autorité judiciaire supérieure de dernière instance cantonale ( art. 82 let. a et 86 al. 1 let . d et al. 2 LTF) qui ne tombe sous le coup d'aucune des exceptions prévues à l' art. 83 LTF . La voie du recours en matière de droit public est donc ouverte.</w:t>
      </w:r>
    </w:p>
    <w:p>
      <w:r>
        <w:rPr>
          <w:b/>
        </w:rPr>
        <w:t>E. 1.2</w:t>
      </w:r>
    </w:p>
    <w:p>
      <w:r>
        <w:t>Dans son dispositif, l'instance précédente renvoie la cause au Service cantonal des contributions pour nouvelle décision au sens des considérants. Il s'agit donc d'un arrêt de renvoi, qui constitue en principe une décision incidente ( ATF 138 I 143 consid. 1.2 p. 148) contre laquelle le recours au Tribunal fédéral n'est ouvert qu'aux conditions des art. 92 et 93 LTF , à moins que l'autorité à laquelle l'affaire est renvoyée n'ait aucune marge de manoeuvre (cf. ATF 138 I 143 consid. 1.2 p. 148; 135 V 141 consid. 1.1 p. 143). En l'espèce, en tant qu'il concerne l'immeuble X.________, les considérants de l'arrêt attaqué fixent précisément les reprises qui doivent être effectuées dans le chapitre fiscal du recourant de sorte que l'autorité intimée n'a aucune marge de manoeuvre à cet égard. Il s'ensuit que l'arrêt attaqué constitue dans cette mesure une décision finale au sens de l' art. 90 LTF qui peut faire directement l'objet d'une recours en matière de droit public.</w:t>
      </w:r>
    </w:p>
    <w:p>
      <w:r>
        <w:rPr>
          <w:b/>
        </w:rPr>
        <w:t>E. 1.3</w:t>
      </w:r>
    </w:p>
    <w:p>
      <w:r>
        <w:t>Formé en temps utile (art. 46 al. 1 let. b et 100 al. 1 LTF) par le destinataire de l'arrêt attaqué, qui a qualité pour recourir (cf. art. 89 al. 1 LTF ), le recours est recevable. En particulier, telle qu'elle est formulée la conclusion demandant au Tribunal fédéral de fixer "le pourcentage des frais d'entretien déductibles conformément aux déclarations déposées" est recevable, puisque les pourcentages auxquels il est fait référence ressortent de l'état de fait de la décision attaquée ("une part de déduction proche de 70% en 2009 et 2010, de 100% en 2011 et de 64% en 2012"; cf. ch. 8, p. 3).</w:t>
      </w:r>
    </w:p>
    <w:p>
      <w:r>
        <w:rPr>
          <w:b/>
        </w:rPr>
        <w:t>E. 2.1</w:t>
      </w:r>
    </w:p>
    <w:p>
      <w:r>
        <w:t>Le Tribunal fédéral statue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de l' art. 9 Cst.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w:t>
      </w:r>
    </w:p>
    <w:p>
      <w:r>
        <w:rPr>
          <w:b/>
        </w:rPr>
        <w:t>E. 2.2</w:t>
      </w:r>
    </w:p>
    <w:p>
      <w:r>
        <w:t>Sous le titre "en fait", le mémoire de recours résume les circonstances de la cause sans toutefois exposer en quoi les conditions de l' art. 97 al. 1 LTF seraient réunies. Par conséquent les faits qui y sont présentés et qui s'écartent de ceux retenus dans l'arrêt attaqué ne peuvent pas être pris en considération.</w:t>
      </w:r>
    </w:p>
    <w:p>
      <w:r>
        <w:rPr>
          <w:b/>
        </w:rPr>
        <w:t>E. 2.3</w:t>
      </w:r>
    </w:p>
    <w:p>
      <w:r>
        <w:t>A l'appui de son grief dirigé contre l'établissement des faits par l'instance précédente, le recourant invoque la violation de l'interdiction de l'arbitraire dont il expose le contenu. Il est d'avis que l'instance précédente a arbitrairement passé sous silence le pourcentage des frais d'entretien admis les années précédentes (70% et même plus pour les années 2007 et 2008) sur l'immeuble X.________ alors que ce pourcentage avait été fixé après discussion annuelle avec le taxateur sur la base de l'analyse détaillée des frais, facture par facture. Il est également d'avis que l'instance précédente a arbitrairement passé sous silence le fait que les travaux effectués depuis 2003 n'avaient entraîné aucune plus-value ou moins-value dès lors qu'aucune augmentation des taxes cadastrales n'étaient intervenues depuis 2003 en lien avec ces travaux. Ces omissions arbitraires ont permis à l'instance précédente de confirmer le pourcentage de 30% de frais de rénovation décidé par l'autorité intimée en lui évitant de justifier l'écart des pourcentages entre les périodes fiscales antérieures à 2009 et celles en cause en l'espèce. Selon lui, la correction de ces vices a par conséquent une influence sur le sort du litige, en ce que l'instance précédente aurait été contrainte d'examiner en détail les factures produites en lieu et place de confirmer abstraitement une part forfaitaire.</w:t>
      </w:r>
    </w:p>
    <w:p>
      <w:r>
        <w:t>Ce grief doit être rejeté. Il ressort de la partie en fait de l'arrêt attaqué (p. 6) que l'instance précédente a pris en considération les pourcentages des années antérieures et l'absence d'augmentation de la valeur cadastrale. Le fait qu'elle fonde le rejet du recours sur un raisonnement qui ne tient pas compte de ces faits n'équivaut pas à une constatation manifestement inexacte des faits au sens de l' art. 97 al. 1 LTF .</w:t>
      </w:r>
    </w:p>
    <w:p>
      <w:r>
        <w:rPr>
          <w:b/>
        </w:rPr>
        <w:t>E. 3</w:t>
      </w:r>
    </w:p>
    <w:p>
      <w:r>
        <w:t>Invoquant l' art. 29 al. 2 Cst. , le recourant se plaint d'une violation de son droit d'être entendu. Il reproche à l'instance précédente, qui disposait de l'ensemble des factures relatives aux travaux effectués sur l'immeuble X.________, au demeurant par lui ventilées en frais d'entretien et frais apportant une plus-value, de n'avoir pas expliqué pourquoi cette ventilation ne la convainquait pas. Il lui reproche de n'avoir pas motivé sa position et de n'avoir fait référence ni aux tableaux de ventilation ni aux descriptifs fournis dans le cadre du complément d'instruction, alors qu'une telle démarche a été admise pour l'immeuble Y.________.</w:t>
      </w:r>
    </w:p>
    <w:p>
      <w:r>
        <w:rPr>
          <w:b/>
        </w:rPr>
        <w:t>E. 3.1</w:t>
      </w:r>
    </w:p>
    <w:p>
      <w:r>
        <w:t>La jurisprudence a déduit du droit d'être entendu ( art. 29 al. 2 Cst. ) l'obligation pour le juge de motiver ses décisions. Le juge doit mentionner, au moins brièvement, les motifs qui l'ont guidé et sur lesquels il a fondé sa décision, de manière à ce que l'intéressé puisse se rendre compte de la portée de celle-ci et l'attaquer en connaissance de cause (cf. ATF 139 IV 179 consid. 2.2 p. 183; 137 II 266 consid. 3.2 p. 270).</w:t>
      </w:r>
    </w:p>
    <w:p>
      <w:r>
        <w:rPr>
          <w:b/>
        </w:rPr>
        <w:t>E. 3.2</w:t>
      </w:r>
    </w:p>
    <w:p>
      <w:r>
        <w:t>En l'espèce, en se bornant à affirmer, d'une part, que "</w:t>
      </w:r>
    </w:p>
    <w:p>
      <w:r>
        <w:t>les pièces figurant au dossier ne permettaient pas de ventiler de manière claire les frais d'entretiens déductibles fiscalement des dépenses apportant une plus-value devant être activées au bilan " et, d'autre part, que "</w:t>
      </w:r>
    </w:p>
    <w:p>
      <w:r>
        <w:t>la ventilation opérée par le recourant ne convainc pas [...]." L'arrêt attaqué ne fournit aucune explication concrète qui permette au recourant de comprendre ce qui a guidé le raisonnement de l'instance précédente. L'autorité intimée est du reste du même avis puisqu'elle expose dans ses observations sur recours pour quelles raisons les factures relatives aux travaux effectués sur l'immeuble X.________ ne pouvaient pas être ventilées en plus-values ou frais d'entretien. Il ne suffisait pas à cet égard d'affirmer de manière toute générale, que "</w:t>
      </w:r>
    </w:p>
    <w:p>
      <w:r>
        <w:t>divers travaux effectués ne sont pas déductibles eu égard au catalogue établi pour les frais d'entretien par le SCC " (arrêt attaqué, consid. 7 p. 15) sans examiner chaque facture et explications y relatives, au demeurant dûment produites, contrairement à ce qui avait eu lieu, à juste titre, pour les périodes fiscales antérieures à 2009 et pour les frais relatifs à l'immeuble Y.________ pour les périodes fiscales en cause. Il s'ensuit que l'instance précédente a violé le droit d'être entendu de recourant. Comme il s'agit d'un grief formel, qui conduit à l'admission immédiate du recours, il n'est pas nécessaire d'examiner les autres griefs du recourant.</w:t>
      </w:r>
    </w:p>
    <w:p>
      <w:r>
        <w:rPr>
          <w:b/>
        </w:rPr>
        <w:t>E. 4</w:t>
      </w:r>
    </w:p>
    <w:p>
      <w:r>
        <w:t>Les considérants qui précèdent conduisent à l'admission du recours tant en matière d'impôt fédéral direct qu'en matière d'impôt cantonal et communal. L'arrêt rendu le 23 mai 2019 par la Commission de recours en matière fiscale du canton du Valais est annulé en tant qu'il concerne le régime fiscal des frais relatifs aux travaux effectués sur l'immeuble X.________. Succombant, le canton du valais, dont l'intérêt patrimonial est en cause, doit supporter les frais judiciaires ( art. 66 al. 1 et 4 LTF ). Ayant obtenu gain de cause avec l'aide d'un mandataire professionnel, le recourant a droit à des dépens à charge du canton du Valais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