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892/2014 vom 7. Mai 2015</w:t>
      </w:r>
    </w:p>
    <w:p>
      <w:r>
        <w:t>Bundesgericht, 2015-05-07, FR</w:t>
      </w:r>
    </w:p>
    <w:p>
      <w:r>
        <w:rPr>
          <w:b/>
        </w:rPr>
        <w:t xml:space="preserve">Quelle: </w:t>
      </w:r>
      <w:r>
        <w:t>https://mcp.opencaselaw.ch/entscheid/bger_2C_892_2014</w:t>
      </w:r>
    </w:p>
    <w:p>
      <w:r>
        <w:t>FR: TF 2C 892/2014 du 7 mai 2015</w:t>
      </w:r>
    </w:p>
    <w:p>
      <w:r>
        <w:t>IT: TF 2C 892/2014 del 7 maggio 2015</w:t>
      </w:r>
    </w:p>
    <w:p>
      <w:pPr>
        <w:pStyle w:val="Heading2"/>
      </w:pPr>
      <w:r>
        <w:t>Regeste</w:t>
      </w:r>
    </w:p>
    <w:p>
      <w:r>
        <w:t>Impôt fédéral direct, cantonal et communal 2011 | Finances publiques &amp; droit fiscal</w:t>
      </w:r>
    </w:p>
    <w:p>
      <w:pPr>
        <w:pStyle w:val="Heading2"/>
      </w:pPr>
      <w:r>
        <w:t>Erwägungen</w:t>
      </w:r>
    </w:p>
    <w:p>
      <w:r>
        <w:rPr>
          <w:b/>
        </w:rPr>
        <w:t>E. 1.1</w:t>
      </w:r>
    </w:p>
    <w:p>
      <w:r>
        <w:t>Le Tribunal cantonal a rendu un seul arrêt valant pour les impôts cantonal et communal, d'une part, et pour l'impôt fédéral direct, d'autre part, ce qui est admissible (cf. ATF 135 II 260 consid. 1.3.1 p. 262 s.). Dans ces circonstances, on ne peut reprocher au recourant d'avoir pris des conclusions valant pour les deux catégories d'impôts dans son recours au Tribunal fédéral. Par souci d'unification par rapport à d'autres cantons dans lesquels deux décisions sont rendues, la Cour de céans a ouvert deux dossiers, l'un concernant l'impôt fédéral direct (2C_893/2014), l'autre l'impôt cantonal et communal (2C_892/2014). Comme l'état de fait est identique et que les questions juridiques se recoupent en partie, les deux causes seront néanmoins jointes et il sera statué dans un seul arrêt (cf. art. 71 LTF et 24 PCF [RS 273]).</w:t>
      </w:r>
    </w:p>
    <w:p>
      <w:r>
        <w:rPr>
          <w:b/>
        </w:rPr>
        <w:t>E. 1.2</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comme le précisent l'art. 146 de la loi fédérale du 14 décembre 1990 sur l'impôt fédéral direct (LIFD; RS 642.11) et l' art. 73 al. 1 la loi fédérale du 14 décembre 1990 sur l'harmonisation des impôts des cantons et des communes (LHID; loi sur l'harmonisation fiscale; RS 642.14). Le Service cantonal des contributions a qualité pour recourir ( art. 89 al. 2 let . d LTF; art. 146 LIFD et 73 al. 2 LHID). Au surplus, déposé en temps utile et dans les formes requises (cf. art. 42 al. 1 et 2 et art. 100 al. 1 LTF ), le recours est en principe recevable.</w:t>
      </w:r>
    </w:p>
    <w:p>
      <w:r>
        <w:rPr>
          <w:b/>
        </w:rPr>
        <w:t>E. 2</w:t>
      </w:r>
    </w:p>
    <w:p>
      <w:r>
        <w:t>Le recourant se plaint de ce que l'Instance précédente a considéré le droit d'usage réservé à l'aliénatrice comme un usufruit, imposable dans son chapitre fiscal, alors même qu'il ressort de l'acte de vente et de constitution de la servitude que l'estimation de la valeur de ce droit n'a pas été effectuée selon les principes de capitalisation d'un usufruit. Il est d'avis qu'il s'agit bien plutôt d'un droit d'usage constitué à titre onéreux dont la contre-prestation annuelle de 45'000 fr. est imposable auprès des acquéreurs et qui diminue de ce même montant la créance de ces derniers en faveur de l'aliénatrice. I.       Impôt fédéral direct</w:t>
      </w:r>
    </w:p>
    <w:p>
      <w:r>
        <w:rPr>
          <w:b/>
        </w:rPr>
        <w:t>E. 3.1</w:t>
      </w:r>
    </w:p>
    <w:p>
      <w:r>
        <w:t>Aux termes de l' art. 21 al. 1 LIFD , est imposable le rendement de la fortune immobilière, en particulier: tous les revenus provenant de la location, de l'affermage, de l'usufruit ou d'autres droits de jouissance (let. a) ainsi que la valeur locative des immeubles ou de parties d'immeubles dont le contribuable se réserve l'usage en raison de son droit de propriété ou d'un droit de jouissance obtenu à titre gratuit (let. b).</w:t>
      </w:r>
    </w:p>
    <w:p>
      <w:r>
        <w:rPr>
          <w:b/>
        </w:rPr>
        <w:t>E. 3.2</w:t>
      </w:r>
    </w:p>
    <w:p>
      <w:r>
        <w:t>De jurisprudence constante, lorsqu'un transfert de propriété d'immeuble et la constitution d'une servitude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 d'usage stipulé et à une valeur inférieure (" deductio servitutis "). Cela vaut de manière générale et non pas seulement en cas de donation ou de donation mixte. Le titulaire de la servitude personnelle est alors imposé pour la durée du rapport de servitude sur la valeur d'usage de l'objet en application de l' art. 21 al. 1 let. b LIFD . En effet, l'acquisition d'une servitude personnelle (droit de jouissance) par le versement d'un capital au propriétaire est une acquisition gratuite, en ce sens que le bénéficiaire de cette jouissance ne fait plus de prestations périodiques après ce versement en capital (arrêts 2C_542/2010 du 24 novembre 2010 consid. 2.1 in StE 2011 B 27.2 n° 34; 2C_256/2010 du 6 septembre 2010 consid. 2.2.2 in RF 65 2010 951 et les références citées; Cf. N. Merlino, Commentaire romand de la LIFD, Bâle 2008, n° 94 ad art. 21 LIFD ).</w:t>
      </w:r>
    </w:p>
    <w:p>
      <w:r>
        <w:rPr>
          <w:b/>
        </w:rPr>
        <w:t>E. 3.3</w:t>
      </w:r>
    </w:p>
    <w:p>
      <w:r>
        <w:t>En l'espèce, il ressort clairement de l'acte notarié du 14 décembre 2010 que le transfert de propriété a eu lieu simultanément à la constitution d'une servitude personnelle irrégulière au sens de l' art. 781 CC : l'aliénatrice s'est en effet réservé un droit d'usage pour une durée d'emblée limitée; cet usage est en outre restreint à une partie de l'immeuble grevé, ce qui est admissible sous l'angle des droits réels limités et permet de qualifier dite servitude d'irrégulière et de la distinguer de l'usufruit (cf. sur ce point : P.-H. Steinauer, Les droits réels, tome II, 4e éd., p. 403 n° 2193 et 2197 ainsi que tome III, 4e éd., Berne 2012, p. 139, n° 2573 s.). Elle a obtenu ce droit d'usage à titre gratuit puisqu'elle n'est tenue à aucune prestation périodique en contre-partie. Contrairement à ce qu'affirme le recourant, en raison de la théorie de l'acte unique qui prévaut en matière de droits réels, le "versement" d'un capital par réduction du prix de vente ne permet pas de considérer que le droit d'usage a été obtenu à titre onéreux. La stipulation d'une indemnisation pro rata temporis constitue uniquement une modalité de compensation en cas de renonciation volontaire anticipée à la servitude par la bénéficiaire ou en cas de décès de cette dernière ; elle n'a aucune influence en l'espèce sur la théorie de l'acte unique. C'est par conséquent à bon droit que l'instance précédente a annulé l'imposition d'un rendement locatif dans le chapitre des nouveaux propriétaires de l'immeuble grevé de la servitude personnelle irrégulière en application de l' art. 21 al. 1 let. b LIFD . Ce régime fiscal durera jusqu'à extinction de la servitude en cause, soit 10 ans. Le recours est rejeté. II.       Impôt cantonal et communal</w:t>
      </w:r>
    </w:p>
    <w:p>
      <w:r>
        <w:rPr>
          <w:b/>
        </w:rPr>
        <w:t>E. 4.1</w:t>
      </w:r>
    </w:p>
    <w:p>
      <w:r>
        <w:t>En vertu de l' art. 7 LHID , l'impôt sur le revenu a pour objet tous les revenus du contribuable, le rendement de la fortune y compris la valeur locative de l'habitation du contribuable. En vertu de l'art. art. 24 al. 1 de la loi cantonale du 21 mars 2000 sur les contributions directes (LCdir; RSNE 631.0), le rendement de la fortune immobilière est imposable, en particulier, tous les revenus provenant de la location, de l'affermage, de l'usufruit ou d'autres droits de jouissance (let. a) et la valeur locative des immeubles ou de parties d'immeubles dont le contribuable se réserve l'usage en raison de son droit de propriété ou d'un droit de jouissance obtenu à titre gratuit (let. b). Ces dispositions ont une teneur similaire à celle de l' art. 21 LIFD , de sorte que les considérations qui ont été exposées en matière d'impôt fédéral direct valent aussi pour l'impôt cantonal et communal. C'est par conséquent à bon droit que l'instance précédente a annulé l'imposition d'un rendement locatif dans le chapitre des nouveaux propriétaires de l'immeuble grevé de la servitude personnelle irrégulière. Cela résulte de l'art. 24 al. 1 let. b LCdir.</w:t>
      </w:r>
    </w:p>
    <w:p>
      <w:r>
        <w:rPr>
          <w:b/>
        </w:rPr>
        <w:t>E. 4.2</w:t>
      </w:r>
    </w:p>
    <w:p>
      <w:r>
        <w:t>En vertu de l' art. 13 al. 2 LHID , qui n'a pas d'équivalent en droit cantonal neuchâtelois et qui trouve de ce fait application en vertu de l' art. 72 al. 2 LHID , il y a lieu de n'imposer au titre de la fortune dans le chapitre des nouveaux propriétaires qu'une quote-part de la valeur fiscale de l'immeuble en cause, comme l'a jugé à bon droit l'instance précédente, sans être critiquée par le recourant.</w:t>
      </w:r>
    </w:p>
    <w:p>
      <w:r>
        <w:rPr>
          <w:b/>
        </w:rPr>
        <w:t>E. 5</w:t>
      </w:r>
    </w:p>
    <w:p>
      <w:r>
        <w:t>Les considérants qui précèdent conduisent au rejet du recours en matière d'impôt fédéral direct ainsi qu'en matière d'impôt cantonal et communal pour la période fiscale 2011. Succombant, le recourant, qui s'adresse au Tribunal fédéral dans l'exercice des ses fonctions officielles et dont l'intérêt patrimonial est en cause, doit supporter les frais judiciaires ( art. 66 al. 1 et 4 LTF ). Les intimés, représentés par un mandataire professionnel, ont obtenu gain de cause; ils ont droit par conséquent à une indemnité à titre de dépens à charge du canton de Neuchâtel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