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2C_886/2018 vom 24. Oktober 2018</w:t>
      </w:r>
    </w:p>
    <w:p>
      <w:r>
        <w:t>Bundesgericht, 2018-10-24, DE</w:t>
      </w:r>
    </w:p>
    <w:p>
      <w:r>
        <w:rPr>
          <w:b/>
        </w:rPr>
        <w:t xml:space="preserve">Quelle: </w:t>
      </w:r>
      <w:r>
        <w:t>https://mcp.opencaselaw.ch/entscheid/bger_2C_886_2018</w:t>
      </w:r>
    </w:p>
    <w:p>
      <w:r>
        <w:t>FR: TF 2C_886/2018 du 24 octobre 2018</w:t>
      </w:r>
    </w:p>
    <w:p>
      <w:r>
        <w:t>IT: TF 2C_886/2018 del 24 ottobre 2018</w:t>
      </w:r>
    </w:p>
    <w:p>
      <w:pPr>
        <w:pStyle w:val="Heading2"/>
      </w:pPr>
      <w:r>
        <w:t>Erwägungen</w:t>
      </w:r>
    </w:p>
    <w:p>
      <w:r>
        <w:rPr>
          <w:b/>
        </w:rPr>
        <w:t>E. 1.1</w:t>
      </w:r>
    </w:p>
    <w:p>
      <w:r>
        <w:t>Die Voraussetzungen der Beschwerde in öffentlich-rechtlichen Angelegenheiten liegen vor (Art. 82 lit. a, Art. 83</w:t>
      </w:r>
    </w:p>
    <w:p>
      <w:r>
        <w:t>e contrario , Art. 86 Abs. 1 lit. d und Abs. 2, Art. 89 Abs. 1, Art. 90, Art. 100 Abs. 1 BGG in Verbindung mit Art. 146 DBG [SR 642.11] und Art. 73 StHG [SR 642.14]).</w:t>
      </w:r>
    </w:p>
    <w:p>
      <w:r>
        <w:rPr>
          <w:b/>
        </w:rPr>
        <w:t>E. 1.2</w:t>
      </w:r>
    </w:p>
    <w:p>
      <w:r>
        <w:t>Das Bundesgericht prüft das Bundesrecht von Amtes wegen ( Art. 106 Abs. 1 BGG ; BGE 143 V 19 E. 2.3 S. 23 f.) und mit uneingeschränkter (voller) Kognition ( Art. 95 lit. a BGG ; BGE 141 V 234 E. 2 S. 236). Bei aller Rechtsanwendung von Amtes wegen untersucht das Bundesgericht, unter Berücksichtigung der allgemeinen Begründungspflicht der Beschwerde ( Art. 42 Abs. 1 und 2 BGG ; BGE 142 V 395 E. 3.1 S. 397), aber nur die geltend gemachten Rügen ( BGE 142 V 2 E. 2 S. 5), es sei denn, die rechtlichen Mängel lägen geradezu auf der Hand ( BGE 142 I 99 E. 1.7.1 S. 106).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w:t>
      </w:r>
    </w:p>
    <w:p>
      <w:r>
        <w:rPr>
          <w:b/>
        </w:rPr>
        <w:t>E. 1.4</w:t>
      </w:r>
    </w:p>
    <w:p>
      <w:r>
        <w:t>Das Bundesgericht legt seinem Urteil grundsätzlich den Sachverhalt zugrunde, den die Vorinstanz festgestellt hat ( Art. 105 Abs. 1 BGG ; BGE 144 V 173 E. 1.2 S. 175). Die Sachverhaltskontrolle ist auf offensichtlich unrichtige Feststellungen beschränkt ( Art. 105 Abs. 2 BGG ). "Offensichtlich unrichtig" ist mit "willkürlich" gleichzusetzen ( BGE 144 IV 35 E. 2.3.3 S. 42 f.). Tatfrage ist auch die Beweiswürdigung. Die Anfechtung der vorinstanzlichen Feststellungen unterliegt der qualifizierten Rüge- und Begründungsobliegenheit ( BGE 144 V 50 E. 4.1 S. 52 f. mit Hinweisen; vorne E. 1.3).</w:t>
      </w:r>
    </w:p>
    <w:p>
      <w:r>
        <w:t>II. Direkte Bundessteuer</w:t>
      </w:r>
    </w:p>
    <w:p>
      <w:r>
        <w:rPr>
          <w:b/>
        </w:rPr>
        <w:t>E. 2.1</w:t>
      </w:r>
    </w:p>
    <w:p>
      <w:r>
        <w:t>Streitig und zu prüfen ist, ob der von der Steuerpflichtigen anlässlich des Verkaufs vom 15. Januar 2013 erzielte Erlös von Fr. 175'000.-- dem Drittvergleich genügt. Wäre dies der Fall, wie die Steuerpflichtige vorbringt, bliebe für eine Aufrechnung kein Raum. Andernfalls müsste die getätigte Abschreibung im nicht gerechtfertigten Umfang aufgerechnet werden.</w:t>
      </w:r>
    </w:p>
    <w:p>
      <w:r>
        <w:rPr>
          <w:b/>
        </w:rPr>
        <w:t>E. 2.2.1</w:t>
      </w:r>
    </w:p>
    <w:p>
      <w:r>
        <w:t>Rechtsgeschäfte zwischen der Kapitalgesellschaft oder Genossenschaft einerseits und den Anteilsinhabern anderseits haben in jedem Fall dem Drittvergleich (</w:t>
      </w:r>
    </w:p>
    <w:p>
      <w:r>
        <w:t>"dealing at arm's length" ; Art. 58 Abs. 1 lit. b Lemma 4 DBG) zu genügen (dazu zuletzt Urteile 2C_852/2018 vom 8. Oktober 2018 E. 3.3; 2C_814/2017 vom 17. September 2018 E. 8.1.1; BGE 140 II 88 E. 4.1 S. 92 f.). Fehlt es daran, liegt - aus der Optik des begünstigten Anteilsinhabers - eine geldwerte Leistung der Kapitalgesellschaft oder Genossenschaft vor ( BGE 143 IV 228 E. 4.1 S. 230 f.). Aus Optik der begünstigenden Kapitalgesellschaft oder Genossenschaft muss in einem Fall wie dem vorliegenden, der zu einer überhöhten Abschreibung geführt hatte, die Abschreibung im entsprechenden Umfang aufgerechnet werden (auch dazu Art. 58 Abs. 1 lit. b Lemma 4 DBG).</w:t>
      </w:r>
    </w:p>
    <w:p>
      <w:r>
        <w:rPr>
          <w:b/>
        </w:rPr>
        <w:t>E. 2.2.2</w:t>
      </w:r>
    </w:p>
    <w:p>
      <w:r>
        <w:t>Die KSTV/SZ hat vorliegend im Veranlagungsverfahren einen Ermessenszuschlag von Fr. 50'000.-- vorgenommen. Für die Zwecke der Kognition bedeutet dies folgendes: Frei überprüfbare Rechtsfrage ist, ob der Sachverhalt eine Schätzung nach pflichtgemässem Ermessen zulässt. Trifft dies zu, ist zu klären, ob die Vorinstanz eine sachgerechte Bewertungsmethode herangezogen hat. Auch dies ist eine Rechtsfrage. Sachgerecht ist ein Vorgehen, das nachvollziehbar, plausibel, anerkannt ist, in vergleichbaren Fällen verbreitete Anwendung findet, allgemeiner Auffassung zufolge mindestens ebenso bewährt ist wie andere Methoden und zudem den Verhältnissen im individuell-konkreten Fall entspricht. Die eigentliche Bewertung oder Schätzung gehört hingegen zu den Tatfragen. Das Bundesgericht prüft das Ergebnis einer Bewertung oder Schätzung nur zurückhaltend, das heisst auf offensichtliche Fehler und Irrtümer hin (Urteil 2C_852/2018 vom 9. Oktober 2018 E. 2.2 und 2.3 mit Hinweisen).</w:t>
      </w:r>
    </w:p>
    <w:p>
      <w:r>
        <w:rPr>
          <w:b/>
        </w:rPr>
        <w:t>E. 2.3.1</w:t>
      </w:r>
    </w:p>
    <w:p>
      <w:r>
        <w:t>Nach den für das Bundesgericht grundsätzlich verbindlichen Feststellungen der Vorinstanz, welche die Steuerpflichtige insofern nicht bestreitet ( Art. 105 Abs. 1 BGG ; vorne E. 1.4), erreichte der Neupreis des streitbetroffenen Bootes im Mai 2007 den Betrag von ca. Fr. 440'000.-- (Sachverhalt, lit. B). Die Steuerpflichtige konnte das Boot im August 2011 für Fr. 265'000.-- (inkl. MWST) erstehen, worauf sie rund Fr. 33'000.-- in die Installationen investierte. Im Januar 2013 veräusserte sie das Objekt für Fr. 175'000.-- (inkl. MWST) an den Hauptaktionär. Ebenso unstreitig hielt dieser in der streitbetroffenen Steuerperiode 2013 ein Aktienpaket von 48 Prozent und fungierte er als einzeln zeichnungsberechtigter Verwaltungsratspräsident (Sachverhalt, lit. A).</w:t>
      </w:r>
    </w:p>
    <w:p>
      <w:r>
        <w:rPr>
          <w:b/>
        </w:rPr>
        <w:t>E. 2.3.2</w:t>
      </w:r>
    </w:p>
    <w:p>
      <w:r>
        <w:t>Die Vorinstanz hat zutreffend erwogen, der zu einem bestimmten Zeitpunkt bestehende Verkehrswert eines Vermögenswertes könne grundsätzlich nicht lediglich durch Vornahme der "zulässigen (planmässigen) Abschreibungen" erhoben werden (Sachverhalt, lit. D). Dessen ungeachtet ist zumindest in einer ersten Phase von den einschlägigen Abschreibungsregeln auszugehen, um zu prüfen, ob überhaupt Raum für eine Aufrechnung besteht. Das Merkblatt A 1995 - Schifffahrt ("Abschreibungen auf Schiffen und Schifffahrtsanlagen") sieht im Bereich der Binnenschifffahrt für die Kategorie "Personendampfschiffe, Personenmotorschiffe, Schwimmdocks" einen Normalsatz von 6,0 Prozent (bezogen auf den Anschaffungswert) oder 12,0 Prozent (bezogen auf den Buchwert) vor. Die KSTV/SZ hat einen Abschreibungssatz von 1,0 Prozent pro Monat für gegeben erachtet und ist damit grundsätzlich der degressiven Abschreibungsmethode gefolgt. Wendet man diese Methode an, ergab sich am 1. August 2011 ein Restwert von rund Fr. 260'000.--. Im Jahr 2011 kamen Investitionen von ca. Fr. 33'000.-- hinzu, was per 1. Januar 2012 zu einem Buchwert von Fr. 278'000.-- und per 1. Januar 2013 von Fr. 244'000.-- führte. Die KSTV/SZ liess auf den elektrischen Installationen eine weitergehende Abschreibung zu und gelangte auf diese Weise zu einem Restwert von Fr. 225'000.--.</w:t>
      </w:r>
    </w:p>
    <w:p>
      <w:r>
        <w:rPr>
          <w:b/>
        </w:rPr>
        <w:t>E. 2.3.3</w:t>
      </w:r>
    </w:p>
    <w:p>
      <w:r>
        <w:t>Frei überprüfbare Rechtsfrage ist, ob der Sachverhalt eine Schätzung nach pflichtgemässem Ermessen zulässt (vorne E. 2.2.2). Mit Blick auf den Abschreibungssatz von 12,0 Prozent, wie er sich bei jährlicher degressiver Abschreibung ergibt, zeigt sich, dass zwischen dem rechnerischen Wert (Fr. 244'000.--) und dem vereinbarten Kaufpreis von Fr. 175'000.-- eine spürbare, ungeklärte Differenz besteht. Dieser Fehlbetrag erlaubt es, einen Ermessenszuschlag vorzunehmen, soweit keine stichfesten Argumente dagegen sprechen. Beweiswürdigend ist die Vorinstanz mit ihren beiden Vorinstanzen zum Schluss gelangt, ein Ansatz von Fr. 225'000.-- sei gerechtfertigt. Dabei berücksichtigte sie namentlich den Umstand, dass die elektrischen Installationen von geringerer Werthaltigkeit als das Boot sind.</w:t>
      </w:r>
    </w:p>
    <w:p>
      <w:r>
        <w:rPr>
          <w:b/>
        </w:rPr>
        <w:t>E. 2.3.4</w:t>
      </w:r>
    </w:p>
    <w:p>
      <w:r>
        <w:t>Will die Steuerpflichtige mit ihrer Einrede durchdringen, der Verkehrswert habe sich bei zutreffender Betrachtung auf lediglich Fr. 175'000.-- belaufen, hat sie ihre Beschwerde in einer Weise zu formulieren, die der qualifizierten Rüge- und Begründungsobliegenheit genügt ( Art. 106 Abs. 2 BGG ; vorne E. 1.3). Ihre Aufgabe hätte mithin darin bestanden, in detaillierter Auseinandersetzung mit den vorinstanzlichen Erwägungen darzulegen, dass und inwiefern die Bewertung verfassungsrechtlich unhaltbar, namentlich willkürlich ( Art. 9 BV ), ausgefallen sei. Ihre Kritik genügt den gesetzlichen Anforderungen nicht, bleibt sie doch im Appellatorischen verhaftet (Sachverhalt, lit. E) und lässt sie die Verfassungsfrage ausser Acht. Die Beanstandungen fallen höchst allgemein aus, indem die Steuerpflichtige sich darauf beruft, dass es "prämienmässig" nicht viel ausmache, ob der Versicherungswert "überhöht" werde, weshalb der Versicherungswert für die Zwecke der Bewertung nicht repräsentativ sei. Abgesehen davon, dass diese Sichtweise zivil- und strafrechtliche Fragen aufwirft, lässt sich daraus für den konkreten Einzelfall nichts ableiten.</w:t>
      </w:r>
    </w:p>
    <w:p>
      <w:r>
        <w:rPr>
          <w:b/>
        </w:rPr>
        <w:t>E. 2.3.5</w:t>
      </w:r>
    </w:p>
    <w:p>
      <w:r>
        <w:t>Ebenso wenig behilflich sind die Ausführungen zur Zusammensetzung des Kaufpreises vom 28. Juli 2011. Zumindest dem angefochtenen Entscheid lässt sich zu den Nebenpositionen (Zubehör, Hafenplatz, Versicherungsprämie, "Wassersteuer", Überholung des Motors usw.; Sachverhalt, lit. E) nichts entnehmen. Wie die Steuerpflichtige darlegt, handelte es sich dabei ohnehin nur um einen Betrag von etwa Fr. 15'000.--, was die Bewertung weder in der einen noch der anderen Richtung entscheidend beeinflussen kann. Schliesslich vermag auch der Hinweis auf die angeblichen Vergleichspreise in den Jahren 2015 und 2017, welche die Steuerpflichtige anführt, nichts zu ihren Gunsten zu bewirken. Hieb- und stichfestes Vergleichsobjekt könnte ein Rechtsgeschäft unter denselben Umständen bilden, wie sie hier streitbetroffen sind. Dies heisst, dass es sich möglichst um den Verkauf eines auf einem inländischen Binnengewässer stationierten, gleichaltrigen und gleich ausgestatteten Bootes handeln müsste.</w:t>
      </w:r>
    </w:p>
    <w:p>
      <w:r>
        <w:rPr>
          <w:b/>
        </w:rPr>
        <w:t>E. 2.3.6</w:t>
      </w:r>
    </w:p>
    <w:p>
      <w:r>
        <w:t>Dies fällt freilich nicht leicht, da das Boot der streitbetroffenen Ausführung im Inland wohl eher selten anzutreffen sein wird. Der inländische Markt dürfte sehr überschaubar sein, anders als etwa im Bereich der Autos. Ein direkter Vergleich scheidet damit aus, zumal die Steuerpflichtige auch kein solches Rechtsgeschäft heranzieht. Auch im Bereich der Luftfahrt sind lineare Abschreibungen denkbar (siehe etwa Urteil 2C_25/2017 vom 17. September 2018 E. 5). Folglich darf bzw. muss auch für die Zwecke der Bewertung eines Bootes auf Erfahrungswerte abgestellt werden. Solche kommen insbesondere in den Normalsätzen gemäss dem Merkblatt A 1995 - Schifffahrt zum Ausdruck. Dabei ist zu berücksichtigen, dass dort unter dem Titel "Binnenschifffahrt" von der Kategorie "Personendampfschiffe, Personenmotorschiffe, Schwimmdocks" die Rede ist. Ob eine Yacht mit Platz für rund ein Dutzend Personen nach denselben Regeln zu bewerten ist wie ein Personendampfschiff, ein Personenmotorschiff oder ein Schwimmdock, darf mit Fug bezweifelt werden. Dennoch wird es nicht völlig falsch sein, von einer wirtschaftlichen Lebensdauer von 16 Jahren auszugehen, wie dies einer linearen Abschreibung von 6,0 Prozent pro Jahr, bezogen auf den Anschaffungswert, entspricht. Ein solches Vorgehen ist nachvollziehbar, plausibel, anerkannt, es findet in vergleichbaren Fällen verbreitete Anwendung und dürfte allgemeiner Auffassung zufolge mindestens ebenso bewährt sein wie andere Methoden.</w:t>
      </w:r>
    </w:p>
    <w:p>
      <w:r>
        <w:rPr>
          <w:b/>
        </w:rPr>
        <w:t>E. 2.3.7</w:t>
      </w:r>
    </w:p>
    <w:p>
      <w:r>
        <w:t>Ein geschätzter Verkehrswert von Fr. 225'000.-- wird dem individuell-konkreten Fall gerecht und hält vor Bundesgesetzesrecht und Verfassungsrecht stand. Entsprechend ist die überzogene Abschreibung, die aufgrund des verlusttragenden Verkaufs vorzunehmen war, im entsprechenden Umfang zu berichtigen (Art. 58 Abs. 1 lit. b Lemma 4 DBG). Die Beschwerde erweist sich daher als unbegründet. Sie ist abzuweisen.</w:t>
      </w:r>
    </w:p>
    <w:p>
      <w:r>
        <w:t>III. Staats- und Gemeindesteuern des Kantons Schwyz</w:t>
      </w:r>
    </w:p>
    <w:p>
      <w:r>
        <w:rPr>
          <w:b/>
        </w:rPr>
        <w:t>E. 3.1</w:t>
      </w:r>
    </w:p>
    <w:p>
      <w:r>
        <w:t>Die dargelegten Rechtssätze zur direkten Bundessteuer finden ihr Gegenstück namentlich in Art. 24 Abs. 1 lit. b StHG . Der Kanton Schwyz hat das hier massgebende Harmonisierungsrecht in allen Teilen in das Steuergesetz (des Kantons Schwyz) vom 9. Februar 2000 (StG/SZ; SRSZ 172.200) überführt. Es kann daher auf das Gesagte verwiesen werden.</w:t>
      </w:r>
    </w:p>
    <w:p>
      <w:r>
        <w:rPr>
          <w:b/>
        </w:rPr>
        <w:t>E. 3.2</w:t>
      </w:r>
    </w:p>
    <w:p>
      <w:r>
        <w:t>Die Beschwerde ist auch kantonalrechtlich unbegründet und abzuweisen.</w:t>
      </w:r>
    </w:p>
    <w:p>
      <w:r>
        <w:t>IV. Kosten und Entschädigung</w:t>
      </w:r>
    </w:p>
    <w:p>
      <w:r>
        <w:rPr>
          <w:b/>
        </w:rPr>
        <w:t>E. 4.1</w:t>
      </w:r>
    </w:p>
    <w:p>
      <w:r>
        <w:t>Nach dem Unterliegerprinzip ( Art. 66 Abs. 1 Satz 1 BGG ) sind die Kosten des bundesgerichtlichen Verfahrens der Steuerpflichtigen aufzuerlegen.</w:t>
      </w:r>
    </w:p>
    <w:p>
      <w:r>
        <w:rPr>
          <w:b/>
        </w:rPr>
        <w:t>E. 4.2</w:t>
      </w:r>
    </w:p>
    <w:p>
      <w:r>
        <w:t>Dem Kanton Schwyz,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