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2C_884/2013 vom 3. Oktober 2013</w:t>
      </w:r>
    </w:p>
    <w:p>
      <w:r>
        <w:t>Bundesgericht, 2013-10-03, FR</w:t>
      </w:r>
    </w:p>
    <w:p>
      <w:r>
        <w:rPr>
          <w:b/>
        </w:rPr>
        <w:t xml:space="preserve">Quelle: </w:t>
      </w:r>
      <w:r>
        <w:t>https://mcp.opencaselaw.ch/entscheid/bger_2C_884_2013</w:t>
      </w:r>
    </w:p>
    <w:p>
      <w:r>
        <w:t>FR: TF 2C_884/2013 du 3 octobre 2013</w:t>
      </w:r>
    </w:p>
    <w:p>
      <w:r>
        <w:t>IT: TF 2C_884/2013 del 3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28 août 2013, le Tribunal cantonal du canton de Vaud a rejeté le recours que X.________, ressortissant de Zambie, marié à une ressortissante suisse avec qui il a vécu en ménage commun en Suisse du 2 juin 2008 au 31 mars 2011, avait déposé contre la décision du Service de la population du canton de Vaud refusant de prolonger son autorisation de séjour.</w:t>
      </w:r>
    </w:p>
    <w:p>
      <w:r>
        <w:rPr>
          <w:b/>
        </w:rPr>
        <w:t>E. 2.1</w:t>
      </w:r>
    </w:p>
    <w:p>
      <w:r>
        <w:t>Selon l' art. 83 let . c ch. 2 LTF, en droit des étrangers, le recours en matière de droit public est irrecevable à l'encontre des décisions qui concernent une autorisation à laquelle ni le droit fédéral ni le droit international ne donnent droit.</w:t>
      </w:r>
    </w:p>
    <w:p>
      <w:r>
        <w:t>En réitérant l'affirmation selon laquelle il est encore marié à un ressortissante suisse, le recourant invoque implicitement l'art. 42 LEtr qui donne droit au conjoint d'un ressortissant suisse à l'octroi d'une autorisation de séjour et à la prolongation de sa durée de validité à condition de vivre en ménage commun avec lui.</w:t>
      </w:r>
    </w:p>
    <w:p>
      <w:r>
        <w:rPr>
          <w:b/>
        </w:rPr>
        <w:t>E. 2.2</w:t>
      </w:r>
    </w:p>
    <w:p>
      <w:r>
        <w:t>Aux termes de l' art. 42 al. 1 LTF toutefois, le mémoire de recours doit contenir les conclusions et les motifs à l'appui de celles-ci. La motivation doit exposer succinctement en quoi l'acte attaqué viole le droit ( art. 42 al. 2 LTF ). Pour satisfaire à cette exigence, le recourant doit discuter les motifs de la décision entreprise et indiquer précisément en quoi il estime que l'autorité précédente a méconnu le droit (cf. ATF 133 IV 119 consid. 6.3 p. 120 s., 286 consid. 1.4 p. 287).</w:t>
      </w:r>
    </w:p>
    <w:p>
      <w:r>
        <w:t>Or, le recourant se borne à exposer de façon lapidaire les arguments qu'il a déjà fait valoir devant l'Instance précédente sans s'en prendre concrètement aux motifs détaillés qui ont conduit l'Instance précédente à les rejeter. En cela le courrier rédigé par le recourant à l'attention du Tribunal fédéral n'expose pas de manière suffisante, eu égard aux exigences de l' art. 42 al. 2 LTF , en quoi l'arrêt du 28 août 2013 et les motifs qu'il retient à l'appui du refus de prolonger l'autorisation de séjour viole le droit.</w:t>
      </w:r>
    </w:p>
    <w:p>
      <w:r>
        <w:rPr>
          <w:b/>
        </w:rPr>
        <w:t>E. 3</w:t>
      </w:r>
    </w:p>
    <w:p>
      <w:r>
        <w:t>Ne répondant pas aux exigences de motivation de l' art. 42 al. 2 LTF , le recours est ainsi manifestement irrecevable ( art. 108 al. 1 let. b LTF ) et doit être traité selon la procédure simplifiée de l' art. 108 LTF , sans qu'il y ait lieu d'ordonner un échange d'écritures. Succombant, le recourant doit supporter un émolument judiciaire réduit ( art. 65 et 66 LTF ). Il n'est pas alloué de dépens ( art. 68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