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2C_87/2010 vom 7. September 2010</w:t>
      </w:r>
    </w:p>
    <w:p>
      <w:r>
        <w:t>Bundesgericht, 2010-09-07, DE</w:t>
      </w:r>
    </w:p>
    <w:p>
      <w:r>
        <w:rPr>
          <w:b/>
        </w:rPr>
        <w:t xml:space="preserve">Quelle: </w:t>
      </w:r>
      <w:r>
        <w:t>https://mcp.opencaselaw.ch/entscheid/bger_2C_87_2010</w:t>
      </w:r>
    </w:p>
    <w:p>
      <w:r>
        <w:t>FR: TF 2C_87/2010 du 7 septembre 2010</w:t>
      </w:r>
    </w:p>
    <w:p>
      <w:r>
        <w:t>IT: TF 2C_87/2010 del 7 settembre 2010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Am 1. Januar 2008 ist das Bundesgesetz vom 16. Dezember 2005 über die Ausländerinnen und Ausländer (AuG; SR 142.20) in Kraft getreten. Nach dessen Art. 126 Abs. 1 bleibt auf Gesuche, die vor diesem Zeitpunkt eingereicht worden sind, das bisherige Recht - d.h. das Bundesgesetz vom 26. März 1931 über Aufenthalt und Niederlassung der Ausländer (ANAG; BS 1 121) und die dazu gehörige Verordnung (ANAV; AS 1949 228) - anwendbar. Übergangsrechtlich gilt das bisherige materielle Recht - über seinen engen Wortlaut hinaus - für alle ausländerrechtlichen Verfahren, die erstinstanzlich vor Inkrafttreten des neuen Rechts eingeleitet worden sind, ob sie nun von Amtes wegen oder auf Gesuch hin eröffnet wurden (Urteil 2C_329/ 2009 vom 14. September 2009, E. 2.1, mit Hinweisen). Da das Migrationsamt dem Beschwerdeführer das rechtliche Gehör am 14. Dezember 2007 gewährt und damit das Widerrufsverfahren eingeleitet hat, ist das bisherige Recht massgebend, auch wenn dem Beschwerdeführer die entsprechende Verfügung erst am 19. August 2008 eröffnet worden ist. Soweit im Übrigen mit der vorliegenden Rechtsmitteleingabe die Aufhebung dieser Verfügung verlangt wird, ist darauf von Vornherein nicht einzutreten: Diese Verfügung ist durch das Urteil des Verwaltungsgerichts ersetzt worden (Devolutiveffekt) und gilt inhaltlich als mitangefochten (vgl. BGE 134 II 142 E. 1.4 S. 144).</w:t>
      </w:r>
    </w:p>
    <w:p>
      <w:r>
        <w:rPr>
          <w:b/>
        </w:rPr>
        <w:t>E. 1.3</w:t>
      </w:r>
    </w:p>
    <w:p>
      <w:r>
        <w:t>Die Aufenthalts- und (später) die Niederlassungsbewilligung wurden dem Beschwerdeführer gestützt auf die inzwischen geschiedene Ehe mit der in der Schweiz niederlassungsberechtigten Y.________ erteilt: Gemäss Art. 17 Abs. 2 Satz 1 ANAG (in der Fassung vom 23. März 1990) hat der ausländische Ehegatte eines niedergelassenen Ausländers Anspruch auf Erteilung und Verlängerung der Aufenthaltsbewilligung, solange die Ehegatten zusammen wohnen. Nach einem ordnungsgemässen und ununterbrochenen Aufenthalt von fünf Jahren hat er gemäss Satz 2 derselben Bestimmung Anspruch auf die Niederlassungsbewilligung. Sind die Voraussetzungen gemäss Art. 17 Abs. 2 Satz 2 ANAG erfüllt, so erwirbt der ausländische Ehegatte ein eigenes und selbständiges Niederlassungsrecht, welches mit dem Wegfall der Ehe nicht automatisch erlischt, sondern allenfalls widerrufen werden kann (und zwar nicht nach den allgemeinen Regeln über den Widerruf von Verfügungen, sondern ausschliesslich unter den Voraussetzungen von Art. 9 Abs. 4 ANAG , BGE 112 Ib 161 E. 3 S. 162 f., 473 E. 2 S. 475). Gegen solche kantonal letztinstanzliche Entscheide ist die Beschwerde in öffentlich-rechtlichen Angelegenheiten zulässig ( BGE 135 II 1 E. 1.2.1).</w:t>
      </w:r>
    </w:p>
    <w:p>
      <w:r>
        <w:rPr>
          <w:b/>
        </w:rPr>
        <w:t>E. 2.1</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t>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sowie Urteil 4A_22/2008 vom 10. April 2008, E. 1, mit Hinweisen). Dabei muss die Begründung in der Rechtsmitteleingabe selbst enthalten sein; Verweise auf andere Rechtsschriften, insbesondere auf solche, die im kantonalen Verfahren eingereicht wurden, genügen nicht und sind unbeachtlich ( BGE 133 II 396 E. 3.2 S. 400, 130 I 290 E. 4.10 S. 302).</w:t>
      </w:r>
    </w:p>
    <w:p>
      <w:r>
        <w:t>Soweit die vorliegende Beschwerde, welche wiederholt (vgl. insbesondere S. 3-5) auf die Darstellungen in der Rekursschrift an den Regierungsrat und auf diejenigen in der Beschwerdeschrift an das Verwaltungsgericht verweist - die letztere gar zum "Bestandteil" der Beschwerde in öffentlich-rechtlichen Angelegenheiten an das Bundesgericht erklärt (S. 5) - den genannten Begründungsanforderungen nicht genügt, ist darauf nicht einzutreten.</w:t>
      </w:r>
    </w:p>
    <w:p>
      <w:r>
        <w:rPr>
          <w:b/>
        </w:rPr>
        <w:t>E. 2.2</w:t>
      </w:r>
    </w:p>
    <w:p>
      <w:r>
        <w:t>Das gilt auch für die Rügen der Verletzung von Art. 6 EMRK bzw. des Anspruchs auf rechtliches Gehör: Verfahren, in denen über die Zuerkennung oder Verweigerung eines Anwesenheitsrechts in einem Staatsgebiet entschieden wird, zählen nicht zu den zivilrechtlichen Verfahren nach Art. 6 EMRK (vgl. Christoph Grabenwarter, Europäische Menschenrechtskonvention, 3. Aufl., München/Basel/Wien 2008, S. 315). Der Beschwerdeführer kann sich insoweit somit nicht auf die Menschenrechtskonvention berufen. Er, der bei sämtlichen Instanzen anwaltlich vertreten war und ausreichend Gelegenheit hatte, alles schriftlich vorzutragen, was seinen Standpunkt stützte, tut in der Beschwerdeschrift auch nicht dar, dass und weshalb er im kantonalen Verfahren persönlich hätte angehört werden müssen; der Anspruch auf rechtliches Gehör für sich allein räumt indes grundsätzlich keinen Anspruch auf eine mündliche Anhörung ein ( BGE 134 I 140 E. 5.3 S. 148 mit Hinweis). Soweit der Beschwerdeführer seinen Antrag auf persönliche Anhörung auf das bundesgerichtliche Verfahren bezieht, besteht vorliegend ebenfalls keine Anhörungspflicht ( Art. 57 BGG ).</w:t>
      </w:r>
    </w:p>
    <w:p>
      <w:r>
        <w:rPr>
          <w:b/>
        </w:rPr>
        <w:t>E. 2.3</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130 II 425 E. 2.1 S. 428 ; 124 I 208 E. 4a S. 211).</w:t>
      </w:r>
    </w:p>
    <w:p>
      <w:r>
        <w:rPr>
          <w:b/>
        </w:rPr>
        <w:t>E. 3.1</w:t>
      </w:r>
    </w:p>
    <w:p>
      <w:r>
        <w:t>Der Widerruf der Niederlassungsbewilligung gemäss Art. 9 Abs. 4 lit. a ANAG setzt voraus, dass der Betroffene wissentlich falsche Angaben gemacht oder wesentliche Tatsachen verschwiegen hat, in der Absicht, gestützt darauf den Aufenthalt oder die Niederlassung bewilligt zu erhalten (Urteil 2A.423/2006 vom 26. Oktober 2006, E. 2.1).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 595/2006 vom 6. Februar 2007, E. 4.3, 2A.511/2001 vom 10. Juni 2002, publ. in: Pra 2002 Nr. 163, E. 3.2; 2A.57/2002 vom 20. Juni 2002, publ. in: Pra 2002 Nr. 165, E. 2.2, je mit Hinweisen). Dazu gehört etwa die Absicht der Nichtfortsetzung der bisherigen bzw. der Begründung einer neuen Ehe (vgl. Urteil 2C_235/2008 vom 16. Oktober 2008, E. 2.1).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w:t>
      </w:r>
    </w:p>
    <w:p>
      <w:r>
        <w:rPr>
          <w:b/>
        </w:rPr>
        <w:t>E. 3.2</w:t>
      </w:r>
    </w:p>
    <w:p>
      <w:r>
        <w:t>Ein täuschendes Verhalten könnte hier allenfalls darin liegen, dass der Beschwerdeführer im Verfahren um Erteilung der Niederlassungsbewilligung, d.h. bereits vor Ende August 2006, wissentlich verschwiegen oder aktiv darüber hinweggetäuscht hätte, dass die Ehe bereits während der für den Erwerb der Niederlassungsbewilligung massgeblichen fünfjährigen Dauer definitiv gescheitert gewesen sei. Insofern kann für diese Vorfrage auf die Rechtsprechung zur rechtsmissbräuchlichen Berufung auf eine Ehe zurückgegriffen werden, auch wenn sie für sich allein nicht ausschlaggebend, sondern lediglich indirekt von Bedeutung ist. Ein entsprechender Sachverhalt darf allerdings nicht leichthin angenommen werden, entzieht sich in der Regel einem direkten Beweis bzw. ist oft bloss durch Indizien zu erstellen ( BGE 128 II 145 E. 2.3, mit Hinweisen) und muss bereits vor Ablauf der Fünfjahresfrist gemäss Art. 7 Abs. 1 zweiter Satz ANAG, d.h. vor Erlangung des grundsätzlichen Anspruches auf die Niederlassungsbewilligung, vorgelegen haben ( BGE 135 II 1 E. 4.2 S. 9 f., 121 II 97 E. 4c S. 104 f.).</w:t>
      </w:r>
    </w:p>
    <w:p>
      <w:r>
        <w:rPr>
          <w:b/>
        </w:rPr>
        <w:t>E. 3.3</w:t>
      </w:r>
    </w:p>
    <w:p>
      <w:r>
        <w:t>Das Verwaltungsgericht hat - zum Teil unter Hinweis auf die Ausführungen des Regierungsrates - erwogen, schon die zeitlichen Abläufe (vgl. vorne lit. A) begründeten den Verdacht, dass der Beschwerdeführer planmässig und zielgerichtet zum Zweck der Erlangung eines gefestigten Anwesenheitsrechts vorgegangen sei. Nur wenige Monate nach Erteilung der Niederlassungsbewilligung hätten sich die Eheleute zur Scheidung entschlossen, worauf der Beschwerdeführer keine zwei Monate später Z.________ geheiratet habe. Dies deute zwar nicht zwingend auf eine mit Y.________ eingegangene Scheinehe hin, sei aber jedenfalls Indiz für eine rechtsmissbräuchliche Berufung auf die frühere Ehe vor Ablauf der Fünfjahresfrist von Art. 17 Abs. 2 Satz 2 ANAG . Sodann schützte das Verwaltungsgericht die Auffassung des Regierungsrates, im Gegensatz zu der schlüssigen und nachvollziehbaren Schilderung des Sachverhaltes durch die Ehefrau seien die Aussagen des Beschwerdeführers grossenteils widersprüchlich und in ihrer Gesamtheit unglaubhaft. Das Gericht erwog, selbst wenn man der Darstellung des Beschwerdeführers folge, habe dessen Ehefrau auch nach seinem Wegzug an die ________strasse in B.________ (bereits im Jahre 2002) weiterhin bei ihren Eltern in A.________ übernachtet. Spätestens im Verlängerungsgesuch vom 19. August 2003 betreffend die Aufenthaltsbewilligung hätte er daher nicht ohne Hinweis auf das faktische Getrenntleben angeben dürfen, mit seiner damaligen Gattin an der ________strasse in B.________ zusammenzuwohnen (S. 12 des angefochtenen Entscheides).</w:t>
      </w:r>
    </w:p>
    <w:p>
      <w:r>
        <w:rPr>
          <w:b/>
        </w:rPr>
        <w:t>E. 3.4</w:t>
      </w:r>
    </w:p>
    <w:p>
      <w:r>
        <w:t>In der Beschwerdeschrift wird nichts vorgebracht, was diese tatsächlichen Feststellungen des Verwaltungsgerichts und die von ihm daraus gezogenen rechtliche Schlussfolgerungen, wonach der Beschwerdeführer sich rechtsmissbräuchlich verhalten und seine Niederlassungsbewilligung durch Verschweigen wesentlicher Tatsachen erschlichen habe, als bundesrechtswidrig erscheinen liessen. Entgegen den Darlegungen in der Beschwerde hat das Verwaltungsgericht eben gerade nicht "allein" auf die Wohnsituation der Eheleute abgestellt, sondern es hat die mehrfach vorhandenen Indizien (zeitliche Abläufe, schlüssiges Aussageverhalten der Ehefrau, widersprüchliche Darstellungen des Beschwerdeführers [vgl. dazu insbesondere E. 7 des regierungsrätlichen Beschlusses vom 26. August 2009]) für das rechtsmissbräuchliche Verhalten umfassend geprüft und gewürdigt. Wenn das Gericht gestützt auf diese Indizienlage zum Ergebnis gelangt ist, der Beschwerdeführer hätte spätestens ab August 2003 nicht mehr angeben dürfen, dass er mit seiner Frau an der ________strasse in B.________ im gemeinsamen Haushalt zusammenwohne, ist dies nicht zu beanstanden; weitere Beweiserhebungen über die Gründe des faktischen Getrenntlebens erübrigten sich und sind auch vorliegend nicht notwendig (vorne E. 2.3). Hätten die zuständigen Behörden von der wahren Situation in der Ehe gewusst, wäre dem Beschwerdeführer weder die Aufenthaltsbewilligung verlängert (vgl. den Wortlaut von Art. 17 Abs. 2 Satz 1 ANAG ) noch später die Niederlassungsbewilligung erteilt worden. Der Widerrufsgrund von Art. 9 Abs. 4 lit. a ANAG ist erfüllt.</w:t>
      </w:r>
    </w:p>
    <w:p>
      <w:r>
        <w:rPr>
          <w:b/>
        </w:rPr>
        <w:t>E. 3.5</w:t>
      </w:r>
    </w:p>
    <w:p>
      <w:r>
        <w:t>Der Widerruf der Niederlassungsbewilligung erweist sich vorliegend auch nicht als unverhältnismässig: Wie das Verwaltungsgericht zutreffend festgestellt hat, ist der Beschwerdeführer erst im Erwachsenenalter in die Schweiz gekommen und darf berücksichtigt werden, dass sein hiesiges Anwesenheitsrecht jedenfalls seit Mitte September 2003 auf falschen bzw. unterlassenen Angaben gegenüber den Ausländerbehörden beruht. Es ist ihm nach den gesamten Umständen (vgl. dazu E. 5 des angefochtenen Entscheides) zuzumuten, in den Kosovo zurückzukehren, wo auch noch einer seiner Brüder und seine heutige Ehefrau leben.</w:t>
      </w:r>
    </w:p>
    <w:p>
      <w:r>
        <w:rPr>
          <w:b/>
        </w:rPr>
        <w:t>E. 4</w:t>
      </w:r>
    </w:p>
    <w:p>
      <w:r>
        <w:t>Dies führt zur Abweisung der Beschwerde, soweit darauf einzutreten ist.</w:t>
      </w:r>
    </w:p>
    <w:p>
      <w:r>
        <w:t>Dem Ausgang des Verfahrens entsprechend sind die Kosten der Beschwerdeführerin aufzuerlegen ( Art. 65, Art. 66 Abs. 1 BGG ). Eine Parteienschädigung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