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878/2021 vom 9. November 2021</w:t>
      </w:r>
    </w:p>
    <w:p>
      <w:r>
        <w:t>Bundesgericht, 2021-11-09, DE</w:t>
      </w:r>
    </w:p>
    <w:p>
      <w:r>
        <w:rPr>
          <w:b/>
        </w:rPr>
        <w:t xml:space="preserve">Quelle: </w:t>
      </w:r>
      <w:r>
        <w:t>https://mcp.opencaselaw.ch/entscheid/bger_2C_878_2021</w:t>
      </w:r>
    </w:p>
    <w:p>
      <w:r>
        <w:t>FR: TF 2C 878/2021 du 9 novembre 2021</w:t>
      </w:r>
    </w:p>
    <w:p>
      <w:r>
        <w:t>IT: TF 2C 878/2021 del 9 novembre 2021</w:t>
      </w:r>
    </w:p>
    <w:p>
      <w:pPr>
        <w:pStyle w:val="Heading2"/>
      </w:pPr>
      <w:r>
        <w:t>Regeste</w:t>
      </w:r>
    </w:p>
    <w:p>
      <w:r>
        <w:t>Erteilung Aufenthaltsbewilligung EU/EFTA | Bürgerrecht und Ausländerrecht</w:t>
      </w:r>
    </w:p>
    <w:p>
      <w:pPr>
        <w:pStyle w:val="Heading2"/>
      </w:pPr>
      <w:r>
        <w:t>Erwägungen</w:t>
      </w:r>
    </w:p>
    <w:p>
      <w:r>
        <w:rPr>
          <w:b/>
        </w:rPr>
        <w:t>E. 1</w:t>
      </w:r>
    </w:p>
    <w:p>
      <w:r>
        <w:t>Die Vorinstanz erwog gestützt auf das anwendbare kantonale Verfahrensrecht, dass für die Fristerstreckung die schriftliche Eröffnung in Form eines Entscheids nicht vorausgesetzt sei. Weiter stellte sie fest, es sei dem Beschwerdeführer bewusst gewesen, dass er für die Leistung des Kostenvorschusses bis am 20. März 2021 Zeit gehabt habe, andernfalls auf den Rekurs nicht eingetreten werde; in seiner Beschwerdeeingabe vom 14. April 2021 habe er explizit bestätigt, dass das Fristerstreckungsgesuch vom 26. Februar 2021 telefonisch und per e-Mail bewilligt worden sei (vgl. E. 2.3 des angefochtenen Entscheids).</w:t>
      </w:r>
    </w:p>
    <w:p>
      <w:r>
        <w:rPr>
          <w:b/>
        </w:rPr>
        <w:t>E. 2</w:t>
      </w:r>
    </w:p>
    <w:p>
      <w:r>
        <w:t>Der Beschwerdeführer beanstandet in seiner Eingabe an das Bundesgericht nur die vorinstanzliche Feststellung, wonach ihm die Bewilligung der Fristerstreckung für die Bezahlung des Kostenvorschusses vom Departement per e-Mail zugestellt worden sei. Wie es sich damit verhält, ist nach der von der Vorinstanz eingenommenen Rechtsauffassung jedoch nicht entscheidend; für die Vorinstanz war vielmehr ausschlaggebend, dass der Beschwerdeführer überhaupt Kenntnis von der gewährten Fristerstreckung erhielt (vgl. E. 1 hiervor). In Bezug auf die tragende Argumentationsschiene der Vorinstanz enthält die Beschwerde damit offensichtlich keine hinreichende Begründung. Darauf ist nicht einzutreten ( Art. 108 Abs. 1 lit. b BGG ).</w:t>
      </w:r>
    </w:p>
    <w:p>
      <w:r>
        <w:rPr>
          <w:b/>
        </w:rPr>
        <w:t>E. 3</w:t>
      </w:r>
    </w:p>
    <w:p>
      <w:r>
        <w:t>Bei diesem Verfahrensausgang sind die Kosten dem Beschwerdeführer aufzuerlegen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