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2C_878/2019 vom 13. März 2020</w:t>
      </w:r>
    </w:p>
    <w:p>
      <w:r>
        <w:t>Bundesgericht, 2020-03-13, DE</w:t>
      </w:r>
    </w:p>
    <w:p>
      <w:r>
        <w:rPr>
          <w:b/>
        </w:rPr>
        <w:t xml:space="preserve">Quelle: </w:t>
      </w:r>
      <w:r>
        <w:t>https://mcp.opencaselaw.ch/entscheid/bger_2C_878_2019</w:t>
      </w:r>
    </w:p>
    <w:p>
      <w:r>
        <w:t>FR: TF 2C_878/2019 du 13 mars 2020</w:t>
      </w:r>
    </w:p>
    <w:p>
      <w:r>
        <w:t>IT: TF 2C_878/2019 del 13 marzo 2020</w:t>
      </w:r>
    </w:p>
    <w:p>
      <w:pPr>
        <w:pStyle w:val="Heading2"/>
      </w:pPr>
      <w:r>
        <w:t>Erwägungen</w:t>
      </w:r>
    </w:p>
    <w:p>
      <w:r>
        <w:rPr>
          <w:b/>
        </w:rPr>
        <w:t>E. 1.1</w:t>
      </w:r>
    </w:p>
    <w:p>
      <w:r>
        <w:t>Die Beschwerdeführerin ficht einen verfahrensabschliessenden Entscheid einer letzten kantonalen Instanz in einer öffentlich-rechtlichen Angelegenheit an. Dagegen steht die Beschwerde in öffentlich-rechtlichen Angelegenheiten offen ( Art. 82 lit. a, Art. 86 Abs. 1 lit. d und Art. 90 BGG ). Die Beschwerdeführerin ist zur Beschwerde legitimiert ( Art. 89 Abs. 1 BGG ) und hat ihre Beschwerde frist- und formgerecht eingereicht ( Art. 100 Abs. 1 und Art. 42 BGG ). Auf die Beschwerde ist einzutreten.</w:t>
      </w:r>
    </w:p>
    <w:p>
      <w:r>
        <w:rPr>
          <w:b/>
        </w:rPr>
        <w:t>E. 1.2</w:t>
      </w:r>
    </w:p>
    <w:p>
      <w:r>
        <w:t>Mit dem Tod des Schweins am 28. Februar 2020 können die von der Vorinstanz angeordneten tierärztlichen Untersuchungen nicht länger vollzogen werden. Der Rechtsstreit ist dadurch gegenstandslos geworden, weswegen der Instruktionsrichter als Einzelrichter die Abschreibung des Verfahrens zu verfügen hat ( Art. 32 Abs. 2 BGG ). Die Kosten sind anhand einer summarischen Beurteilung aufgrund der Sachlage vor Eintritt des Erledigungsgrunds zu verlegen ( Art. 71 BGG i.V.m. Art. 72 des Bundesgesetzes vom 4. Dezember 1947 über den Bundeszivilprozess [BZP; SR 273] ). Es ist auf den mutmasslichen Ausgang des Prozesses abzustellen ( BGE 125 V 373 E. 2.a S. 374 f.).</w:t>
      </w:r>
    </w:p>
    <w:p>
      <w:r>
        <w:rPr>
          <w:b/>
        </w:rPr>
        <w:t>E. 2</w:t>
      </w:r>
    </w:p>
    <w:p>
      <w:r>
        <w:t>Die Beschwerdeführerin rügte, dass die Anordnung der Vorinstanz das Bundesrecht - namentlich das Tierschutzgesetz vom 16. Dezember 2005 (TSchG; SR 455) und die Tierschutzverordnung vom 23. April 2008 (TSchV; SR 455.1) - verletze. Eine summarische Prüfung dieser Rüge ergibt Folgendes:</w:t>
      </w:r>
    </w:p>
    <w:p>
      <w:r>
        <w:rPr>
          <w:b/>
        </w:rPr>
        <w:t>E. 2.1</w:t>
      </w:r>
    </w:p>
    <w:p>
      <w:r>
        <w:t>Staatliche Massnahmen müssen sich auf eine gesetzliche Grundlage stützen (Legalitätsprinzip, Art. 5 Abs. 1 BV ). An Verwaltungsmassnahmen kann die zuständige Behörde etwa nach Art. 23 TSchG Tierhalteverbote aussprechen. Nach Art. 24 Abs. 1 TSchG schreitet die zuständige Behörde zudem unverzüglich ein, wenn festgestellt wird, dass Tiere vernachlässigt oder unter völlig ungeeigneten Bedingungen gehalten werden. Sie kann gestützt auf Art. 24 Abs. 1 TSchG verschiedene Massnahmen ergreifen, die teilweise im Gesetz bereits erwähnt sind (vgl. weiterführend ANTOINE F. GOETSCHEL, Kommentar zum Eidgenössischen Tierschutzgesetz, 1986, S. 182). Solche Anordnungen stellen unter dem Gesichtspunkt der Verhältnismässigkeit ( Art. 5 Abs. 2 BV ) eine mildere Massnahme zum Tierhalteverbot nach Art. 23 TSchG dar. Bei der Beurteilung, welche Massnahmen im Einzelfall zweckmässig sind, kommt der Behörde ein erheblicher Ermessensspielraum zu (Urteil 2C_804/2018 vom 11. März 2019 E. 2.2).</w:t>
      </w:r>
    </w:p>
    <w:p>
      <w:r>
        <w:rPr>
          <w:b/>
        </w:rPr>
        <w:t>E. 2.2</w:t>
      </w:r>
    </w:p>
    <w:p>
      <w:r>
        <w:t>Die Tierhalteverbote gemäss Art. 23 TSchG und die Massnahmen gemäss Art. 24 Abs. 1 TSchG bezwecken insbesondere, künftige Rechtsverletzungen zu vermeiden (vgl. Urteile 2C_804/2018 vom 11. März 2019 E. 2.1; 2C_737/2010 vom 18. Juni 2011 E. 4.1). Trotz dieses Präventionszwecks setzen die Massnahmen gemäss Art. 24 Abs. 1 TSchG aber voraus, dass "Tiere vernachlässigt oder unter völlig ungeeigneten Bedingungen gehalten werden" ( Art. 24 Abs. 1 TSchG ). Der Begriff der Vernachlässigung deckt sich zumindest in der Regel mit jenem der Strafbestimmung der Tierquälerei gemäss Art. 26 Abs. 1 lit. a TSchG (vgl. ANTOINE F. GOETSCHEL, a.a.O., S. 180). Als Vernachlässigung gilt folglich die Missachtung der Fürsorgepflicht gemäss Art. 6 Abs. 1 TSchG , mithin also die Unterlassung einer nach dieser Bestimmung gebotenen Handlung durch eine dafür verantwortliche Person (vgl. GIERI BOLLIGER und andere, Schweizer Tierschutzstrafrecht in Theorie und Praxis, 2. Aufl. 2019, S. 129 ff.).</w:t>
      </w:r>
    </w:p>
    <w:p>
      <w:r>
        <w:rPr>
          <w:b/>
        </w:rPr>
        <w:t>E. 2.3</w:t>
      </w:r>
    </w:p>
    <w:p>
      <w:r>
        <w:t>Laut dem angefochtenen Urteil ist unbestritten, dass das Schwein tierschutzkonform gehalten wurde, "sollte es sich dabei um ein gesundes Schwein halten" (angefochtenes Urteil, E. 2.1). Diese Formulierung der Vorinstanz ist wohl so zu verstehen, dass die Beschwerdeführerin den artspezifischen Anforderungen an die Schweinehaltung gemäss Art. 44 ff. TSchV gerecht wurde. Auch sonst lässt sich dem angefochtenen Urteil nicht entnehmen, dass die Beschwerdeführerin das Schwein vernachlässigt oder unter völlig ungeeigneten Bedingungen gehalten hätte.</w:t>
      </w:r>
    </w:p>
    <w:p>
      <w:r>
        <w:rPr>
          <w:b/>
        </w:rPr>
        <w:t>E. 2.4</w:t>
      </w:r>
    </w:p>
    <w:p>
      <w:r>
        <w:t>Die periodische Berichterstattung, welche die Vorinstanz angeordnet hat, stellt wie die Einschläferung des Tiers eine staatliche Massnahme dar. Als solche bedarf sie einer gesetzlichen Grundlage (vgl. oben E. 2.1). Art. 24 Abs. 1 TSchG hätte eine gesetzliche Grundlage abgegeben, wenn das Schwein vernachlässigt oder unter völlig ungeeigneten Bedingungen gehalten worden wäre ( Art. 24 Abs. 1 TSchG ; vgl. oben E. 2.2). Laut dem angefochtenen Urteil war dies nicht der Fall. Die Vorinstanz hat auch keine früheren tierschutzrechtliche Verfehlungen der Beschwerdeführerin festgestellt, aufgrund derer die zweimonatige Berichterstattung als im Vergleich zum Halteverbot nach Art. 23 TSchG milderes Mittel hätte angeordnet werden können.</w:t>
      </w:r>
    </w:p>
    <w:p>
      <w:r>
        <w:rPr>
          <w:b/>
        </w:rPr>
        <w:t>E. 2.5</w:t>
      </w:r>
    </w:p>
    <w:p>
      <w:r>
        <w:t>Unter diesen Umständen fehlte der Anordnung der Vorinstanz mutmasslich die gesetzliche Grundlage. Die Beschwerde der Beschwerdeführerin wäre also mutmasslich begründet gewesen. Da der Kanton Thurgau unterlegen wäre, sind keine Kosten zu erheben ( Art. 66 Abs. 4 BGG ). Der Kanton Thurgau hat die Beschwerdeführerin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