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2C_874/2014 vom 18. April 2016</w:t>
      </w:r>
    </w:p>
    <w:p>
      <w:r>
        <w:t>Bundesgericht, 2016-04-18, DE</w:t>
      </w:r>
    </w:p>
    <w:p>
      <w:r>
        <w:rPr>
          <w:b/>
        </w:rPr>
        <w:t xml:space="preserve">Quelle: </w:t>
      </w:r>
      <w:r>
        <w:t>https://mcp.opencaselaw.ch/entscheid/bger_2C_874_2014</w:t>
      </w:r>
    </w:p>
    <w:p>
      <w:r>
        <w:t>FR: TF 2C_874/2014 du 18 avril 2016</w:t>
      </w:r>
    </w:p>
    <w:p>
      <w:r>
        <w:t>IT: TF 2C_874/2014 del 18 aprile 2016</w:t>
      </w:r>
    </w:p>
    <w:p>
      <w:pPr>
        <w:pStyle w:val="Heading2"/>
      </w:pPr>
      <w:r>
        <w:t>Erwägungen</w:t>
      </w:r>
    </w:p>
    <w:p>
      <w:r>
        <w:rPr>
          <w:b/>
        </w:rPr>
        <w:t>E. 1.1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73 des Bundesgesetzes vom 14. Dezember 1990 über die Harmonisierung der direkten Steuern der Kantone und Gemeinden [StHG, SR 642.14] ). Angefochten ist vorliegend ein Rückweisungsentscheid. Bei solchen handelt es sich um Endentscheide, wenn der unteren Instanz, an welche die Sache zurückgewiesen wird, kein Entscheidungsspielraum mehr verbleibt und die Rückweisung nur der (rechnerischen) Umsetzung der oberinstanzlichen Anordnungen dient ( BGE 134 II 124 E. 1.3 S. 127 mit Hinweisen).</w:t>
      </w:r>
    </w:p>
    <w:p>
      <w:r>
        <w:rPr>
          <w:b/>
        </w:rPr>
        <w:t>E. 1.2</w:t>
      </w:r>
    </w:p>
    <w:p>
      <w:r>
        <w:t>Abgesehen davon ist nach Art. 93 Abs. 1 lit. a BGG ausnahmsweise die Beschwerde gegen selbständig eröffnete Vor- und Zwischenentscheide zulässig, wenn sie einen nicht wieder gutzumachenden Nachteil bewirken können. Gemäss der bundesgerichtlichen Rechtsprechung liegt ein solcher irreversibler Nachteil unter anderem dann vor, wenn die beschwerdeführende Behörde einen neuen Entscheid fällen muss, den sie in der Folge nicht weiterziehen könnte (vgl. dazu BGE 134 II 124 E. 1.3 S. 128; 133 II 409 E. 1.2 S. 412; BGE 133 V 477 E. 5.2 S. 483 ff.). Diese Voraussetzung ist vorliegend erfüllt.</w:t>
      </w:r>
    </w:p>
    <w:p>
      <w:r>
        <w:rPr>
          <w:b/>
        </w:rPr>
        <w:t>E. 1.3</w:t>
      </w:r>
    </w:p>
    <w:p>
      <w:r>
        <w:t>Nach Art. 89 Abs. 2 lit. d BGG sind Personen, Organisationen und Behörden zur Beschwerde in öffentlich-rechtlichen Angelegenheiten befugt, wenn ihnen ein Bundesgesetz dieses Recht einräumt. Damit eine Gemeinde nach Art. 73 Abs. 2 StHG zur Beschwerde befugt ist, bedarf es in jedem Fall einer ausdrücklichen materiellrechtlichen Ermächtigung. Im Weiteren fällt die Legitimation der Gemeinde bei einer kantonalen Steuer nur in Betracht, wenn der Gemeinde besondere Kompetenzen bzw. ein eigener Anwendungsspielraum zukommt (Urteil 2C_667/2009 vom 19. Juli 2010 E. 3.3.). Beide Voraussetzungen sind im vorliegenden Fall gegeben: § 214 des Steuergesetzes (des Kantons Zürich) vom 8. Juni 1997 (StG/ZH; LS 631.1) räumt der betroffenen Gemeinde das Recht ein, gegen einen Grundstückgewinnsteuerentscheid des kantonalen Verwaltungsgerichts Beschwerde in öffentlich-rechtlichen Angelegenheiten beim Bundesgericht zu führen. Ebenso verfügt eine Zürcher Gemeinde bei der Erhebung der Grundstückgewinnsteuer gestützt auf das kantonale Steuergesetz über einen gewissen Freiraum (vgl. Urteil 2C_776/2009 vom 25. Februar 2010 E. 1.2). Die Gemeinde ist somit zur Beschwerdeführung legitimiert und auf die form- und fristgerecht eingereichte Beschwerde ist einzutreten.</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2</w:t>
      </w:r>
    </w:p>
    <w:p>
      <w:r>
        <w:t>Die Beschwerdeführerin rügt eine Verletzung von Art. 12 Abs. 4 i.V.m. Art. 8 Abs. 4 StHG .</w:t>
      </w:r>
    </w:p>
    <w:p>
      <w:r>
        <w:rPr>
          <w:b/>
        </w:rPr>
        <w:t>E. 2.1</w:t>
      </w:r>
    </w:p>
    <w:p>
      <w:r>
        <w:t>Die steuerneutrale Ersatzbeschaffung für betriebsnotwendiges Anlagevermögen sei zwar vorgeschrieben. Unter Betriebsnotwendigkeit seien jedoch nur Wirtschaftsgüter zu verstehen, die nach ihrer Zweckbestimmung unmittelbar der Leistungserstellung des Betriebs dienen und ohne Beeinträchtigung des betrieblichen Leistungserstellungsprozesses nicht veräussert werden können, da ihre Veräusserung zu einer substanziellen Veränderung des Betriebs führen würde. Die Liegenschaft der Beschwerdegegnerin erfülle diese Voraussetzungen nicht.</w:t>
      </w:r>
    </w:p>
    <w:p>
      <w:r>
        <w:rPr>
          <w:b/>
        </w:rPr>
        <w:t>E. 2.2</w:t>
      </w:r>
    </w:p>
    <w:p>
      <w:r>
        <w:t>Bei der Beschwerdegegnerin handle es sich um eine 1946 gegründete kirchliche Stiftung, welche aufgrund ihres Kultuszwecks gestützt auf § 61 lit. h StG /ZH von der Steuerpflicht befreit sei. Unter dem Kultuszweck könne nur die Pflege und Verbreitung des gemeinsamen Glauben verstanden werden. Das 1972 geerbte Mehrfamilienhaus habe die Beschwerdegegnerin dazu verwendet, Wohnungen zu einem günstigen Preis an sozial benachteiligte Personen zu vermieten, was jedoch nicht unter den Kultuszweck subsumierbar sei. Die Vermietung von preiswertem Wohnraum an finanzschwache Personen verfolge vielmehr gemeinnützige Zwecke, welche sich vom Kultuszweck unterscheiden und deshalb auch in einer separaten Steuerbefreiungsnorm festgehalten seien ( Art. 56 lit. g und h DBG ; SR 642.11). Die Verfolgung gemeinnütziger Zwecke schliesse es jedoch aus, dass die eingetauschte Liegenschaft unmittelbar dem Kultuszweck gedient habe und sie könne deshalb nicht als betriebsnotwendiges Anlagevermögen gelten. Diese Ansicht werde zusätzlich durch den Umstand unterstrichen, dass es der Beschwerdegegnerin fast 30 Jahre lang möglich gewesen sei, ihren Stiftungszweck ohne das Mehrfamilienhaus zu erfüllen.</w:t>
      </w:r>
    </w:p>
    <w:p>
      <w:r>
        <w:rPr>
          <w:b/>
        </w:rPr>
        <w:t>E. 2.3</w:t>
      </w:r>
    </w:p>
    <w:p>
      <w:r>
        <w:t>Der Bundesgesetzgeber hat in Art. 12 Abs. 3 bzw. 4 StHG abschliessend umschrieben, welche Steueraufschubtatbestände von den Kantonen bei der Grundstückgewinnsteuer zu übernehmen sind. Zugleich hat er auch eine inhaltliche Harmonisierung der kantonalen Regelungen betreffend Steueraufschub angestrebt ( BGE 130 II 202 E. 3.2 S. 207 f.). Den Kantonen verbleibt insoweit kein Spielraum, welchen das Bundesgericht nur auf Willkür hin überprüfen könnte (vgl. Urteil 2C_797/2009 vom 20. Juli 2010 E. 2.1). Das Bundesgericht prüft deshalb auch den hier massgeblichen Steueraufschubtatbestand der Ersatzbeschaffung von betriebsnotwendigem Anlagevermögen gemäss Art. 8 Abs. 4 i.V.m. Art. 24 Abs. 4 StHG mit freier Kognition (vgl. Urteil 2C_539/2010 vom 15. Dezember 2010 E. 1.3).</w:t>
      </w:r>
    </w:p>
    <w:p>
      <w:r>
        <w:rPr>
          <w:b/>
        </w:rPr>
        <w:t>E. 2.4</w:t>
      </w:r>
    </w:p>
    <w:p>
      <w:r>
        <w:t>Gemäss der verbindlichen Sachverhaltsfeststellung der Vorinstanz ermöglicht die Beschwerdegegnerin laut Stiftungsurkunde der römisch-katholischen Kirche die Ausübung des Gottesdiensts und der Seelsorge im Gebiet von V.________ u.a. durch Ankauf von Liegenschaften und die Beschaffung von Mitteln für die Ausübung des Kultus sowie für die Bedürfnisse der katholischen Religion und Seelsorge. Auch wenn der Kultuszweck gemäss Stiftungsurkunde bei der Beschwerdegegnerin im Vordergrund steht, kann sie durchaus auch gemeinnützige Zwecke verfolgen. Steuerbefreite Körperschaften weisen häufig Kultus- und gemeinnützige Zwecke nebeneinander auf (RICHNER/FREI/KAUFMANN/MEUTER, Handkommentar zum DBG, 2. Aufl. 2009, N. 91 zu Art. 56 DBG ). Entgegen der Ansicht der Beschwerdeführerin schliesst der eine Zweck den anderen nicht aus. Wie die Vorinstanz bereits festgehalten hat, stellt der unbestrittene gemeinnützige Charakter der Wohnungsvermietung durch die Beschwerdegegnerin auch eine diakonische Handlungsweise dar im Sinne von tätiger Nächstenliebe und praktizierter Armenfürsorge. Die fraglichen Handlungen der Beschwerdegegnerin sind somit direkt durch ihren Stiftungszweck gedeckt, auch wenn ihr die Liegenschaft erst nach ihrer Gründung zugefallen ist.</w:t>
      </w:r>
    </w:p>
    <w:p>
      <w:r>
        <w:rPr>
          <w:b/>
        </w:rPr>
        <w:t>E. 3</w:t>
      </w:r>
    </w:p>
    <w:p>
      <w:r>
        <w:t>Die Beschwerdeführerin ist allerdings auch unter diesen Umständen der Ansicht, dass die Voraussetzungen zur Gewährung eines Steueraufschubs infolge Ersatzbeschaffung von betriebsnotwendigen Anlagevermögen nicht bestünden.</w:t>
      </w:r>
    </w:p>
    <w:p>
      <w:r>
        <w:rPr>
          <w:b/>
        </w:rPr>
        <w:t>E. 3.1</w:t>
      </w:r>
    </w:p>
    <w:p>
      <w:r>
        <w:t>Die Betriebsnotwendigkeit der veräusserten Liegenschaft sei nicht so zwingend, dass die Armenfürsorge für die Beschwerdegegnerin ohne den Ersatz der veräusserten Liegenschaft nicht mehr möglich wäre. Die Armenfürsorge könne ebenso durch verschiedene andere Unterstützungen wie Kostengutsprachen, Essensausgaben, Kleiderabgaben etc. gewährleistet werden. Gleich wie die Eidgenössische Steuerverwaltung verweist die Beschwerdeführerin dabei auf das Urteil 2C_340/2011 vom 1. Februar 2012. In E. 2.5 dieses Entscheides hat das Bundesgericht in Zusammenhang mit einer Ersatzbeschaffung von Liegenschaften einer Vorsorgestiftung festgehalten, dass für eine Vorsorgestiftung Vermögensanlagen in Immobilien in dem Sinne "betriebsnotwendig" seien, als sie ohne diese ihren Zweck nicht erfüllen könnten. Dies bedeute aber noch nicht, dass sie auch im Sinne des Ersatzbeschaffungsrechts "betriebsnotwendig" seien. Denn ein "Zwang zur Wiederbeschaffung", wie bei echt betriebsnotwendigen Anlagevermögen, bestehe in solchen Fällen nicht. Die Vorsorgestiftung hätte den Verkaufserlös nicht zwingend wieder in Immobilien investieren müssen. Vielmehr wären ihr auch andere Anlageformen offen gestanden. Gemäss Beschwerdeführerin handle es sich beim fraglichen Tauschgeschäft somit nicht um eine Ersatzbeschaffung für betriebsnotwendiges Anlagevermögen, welche die Gewährung eines Steueraufschubes gemäss Art. 8 Abs. 4 StHG bzw. § 216 Abs. 3 lit. g StG /ZH zur Folge hätte.</w:t>
      </w:r>
    </w:p>
    <w:p>
      <w:r>
        <w:rPr>
          <w:b/>
        </w:rPr>
        <w:t>E. 3.2</w:t>
      </w:r>
    </w:p>
    <w:p>
      <w:r>
        <w:t>Folgt man der Argumentation der Beschwerdeführerin, so wäre eine steuerneutrale Ersatzbeschaffung im Bereich der Armenfürsorge nur noch dann möglich, wenn sich eine juristische Person ausschliesslich mit der Vermietung von günstigem Wohnraum beschäftigen würde. Ansonsten liesse sich immer anführen, dass der gemeinnützige Zweck auch in alternativer Form erfüllt werden könne und nicht an die Voraussetzung von Grundeigentum gebunden sei. Mit anderen Worten ginge man im Ersatzbeschaffungsrecht davon aus, dass gemeinnützigen Zwecken prinzipiell mittels Sach- oder Geldleistungen nachzukommen wäre.</w:t>
      </w:r>
    </w:p>
    <w:p>
      <w:r>
        <w:rPr>
          <w:b/>
        </w:rPr>
        <w:t>E. 3.3</w:t>
      </w:r>
    </w:p>
    <w:p>
      <w:r>
        <w:t>Eine solche Betrachtungsweise mag für Vorsorgestiftungen zutreffen, bei denen es tatsächlich von untergeordneter Bedeutung ist, in welche Vermögenswerte sie ihre Mittel investieren. Sie beabsichtigen insb. die Vermögenssicherung der Versicherten und Immobilien dienen ihr nicht so "unmittelbar", wie es für eine steuerneutrale Ersatzbeschaffung notwendig wäre (Urteil 2C_340/2011 vom 1. Februar 2012 E. 2.5). Grundverschieden verhält es sich jedoch bei der Beschwerdegegnerin, welche einen wesentlich anderen Stiftungszweck verfolgt. Sie widmet sich aktiv der Armenfürsorge, bei welcher der persönliche Umgang mit den Bedürftigen ein zentraler Aspekt ihrer Arbeit ist und die nicht nur die rein materielle Unterstützung der Betroffenen anstrebt. In Verfolgung ihres Stiftungszwecks stellt die Beschwerdegegnerin sozial Benachteiligten seit langer Zeit in V.________ günstigen Wohnraum zur Verfügung. Die eingetauschte Liegenschaft diente der Beschwerdegegnerin somit keinesfalls nur als Vermögensanlage oder durch ihren Ertrag, wodurch eine Ersatzbeschaffung ausgeschlossen wäre (MARKUS REICH, in: Kommentar zum Schweizerischen Steuerrecht, Bundesgesetz über die Harmonisierung der direkten Steuern der Kantone und Gemeinden, 2. Aufl. 2002, N. 71 zu Art. 8 StHG ). Dasselbe gilt auch für die neue Liegenschaft, welche die Beschwerdegegnerin in gleicher Weise wie die alte verwendet. Gemäss verbindlicher Sachverhaltsfeststellung beherbergt sie dort zahlreiche Mieter, die bereits in der alten Immobilie wohnten. Es handelt sich sowohl beim ausscheidenden als auch beim wiederbeschafften Vermögensgegenstand um betriebsnotwendiges Anlagevermögen, womit die Anforderungen für eine steuerneutrale Ersatzbeschaffung erfüllt sind (REICH, a.a.O., Rz. 70 zu Art. 8 StHG ). Es liegt somit keine Verletzung von Art. 8 StHG vor.</w:t>
      </w:r>
    </w:p>
    <w:p>
      <w:r>
        <w:rPr>
          <w:b/>
        </w:rPr>
        <w:t>E. 3.4</w:t>
      </w:r>
    </w:p>
    <w:p>
      <w:r>
        <w:t>Die Beschwerde in öffentlich-rechtlichen Angelegenheiten erweist sich als unbegründet und ist abzuweisen.</w:t>
      </w:r>
    </w:p>
    <w:p>
      <w:r>
        <w:rPr>
          <w:b/>
        </w:rPr>
        <w:t>E. 4</w:t>
      </w:r>
    </w:p>
    <w:p>
      <w:r>
        <w:t>Bei diesem Verfahrensausgang sind die Kosten des bundesgerichtlichen Verfahrens der Stadt U.________ aufzuerlegen, die in ihrer Eigenschaft als Abgabegläubigerin Vermögensinteressen im Sinne von Art. 66 Abs. 4 BGG verfolgt. Die Voraussetzungen, unter denen das Bundesgericht einer nicht anwaltlich vertretenen Partei eine Entschädigung zusprechen kann (Art. 9 des Reglementes über die Parteientschädigung und die Entschädigung für die amtliche Vertretung im Verfahren vor dem Bundesgericht [SR 173.110.210.3]), sind hier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