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2C_867/2013 vom 1. Mai 2014</w:t>
      </w:r>
    </w:p>
    <w:p>
      <w:r>
        <w:t>Bundesgericht, 2014-05-01, DE</w:t>
      </w:r>
    </w:p>
    <w:p>
      <w:r>
        <w:rPr>
          <w:b/>
        </w:rPr>
        <w:t xml:space="preserve">Quelle: </w:t>
      </w:r>
      <w:r>
        <w:t>https://mcp.opencaselaw.ch/entscheid/bger_2C_867_2013</w:t>
      </w:r>
    </w:p>
    <w:p>
      <w:r>
        <w:t>FR: TF 2C_867/2013 du 1 mai 2014</w:t>
      </w:r>
    </w:p>
    <w:p>
      <w:r>
        <w:t>IT: TF 2C_867/2013 del 1 maggio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grundsätzlich zulässig, ungeachtet davon, ob sie auf einem Rechtsanspruch beruht ( BGE 135 II 1 E. 1.2.1 S. 4; Urteile 2C_207/2014 vom 6. März 2014 E. 2.1; 2C_235/2012 vom 13. März 2013 E. 1.1).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Neue Tatsachen und Beweismittel dürfen nur so weit vorgebracht werden, als der angefochtene Entscheid hierzu Anlass gibt ( Art. 99 BGG ). Auf einen Vollzugs-Schlussbericht sowie einen Arztbericht vom August bzw. September 2013, die der Beschwerdeführer erst mit seiner Beschwerde an das Bundesgericht ins Recht legt, kann nicht eingegangen werden. Es handelt sich um unzulässige Noven (vgl. BGE 139 III 120 E. 3.1.2 S. 123; 133 IV 342 E. 2.1 S. 343 f.; je mit Hinweisen).</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135 II 377 E. 4.3 und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derart beeinträchtigt (vgl. BGE 139 I 145 E. 2.4 und 2.5; das Urteil 2C_903/2010 vom 6. Juni 2011 E. 3.1, nicht publ. in BGE 137 II 233 ; BGE 130 II 176 E. 4.4.2 S. 190).</w:t>
      </w:r>
    </w:p>
    <w:p>
      <w:r>
        <w:rPr>
          <w:b/>
        </w:rPr>
        <w:t>E. 3</w:t>
      </w:r>
    </w:p>
    <w:p>
      <w:r>
        <w:t>Der Beschwerdeführer bestreitet einzig die Interessenabwägung und Verhältnismässigkeitsprüfung, wie sie die Vorinstanz vorgenommen hat. Entgegen seinen Ausführungen hat die Vorinstanz die widerstreitenden Interessen sorgsam gewichtet, in zulässiger Weise gegeneinander abgewogen und den Widerruf der Niederlassungsbewilligung des Beschwerdeführers zurecht als verhältnismässig erachtet:</w:t>
      </w:r>
    </w:p>
    <w:p>
      <w:r>
        <w:rPr>
          <w:b/>
        </w:rPr>
        <w:t>E. 3.1</w:t>
      </w:r>
    </w:p>
    <w:p>
      <w:r>
        <w:t>Der Beschwerdeführer wurde vom Kantonsgericht Nidwalden wegen Diebstahls, mehrfachen bandenmässigen Diebstahls, mehrfachen versuchten Raubs, mehrfacher Sachbeschädigung, versuchten betrügerischen Missbrauchs einer Datenverarbeitungsanlage, räuberischer Erpressung, mehrfach versuchten und vollendeten Hausfriedensbruchs, mehrfacher Widerhandlung gegen das Betäubungsmittelgesetz sowie weiterer Delikte im Bereich des Strassenverkehrsgesetzes zu einer unbedingten Freiheitsstrafe von 2 Jahren und 6 Monaten verurteilt. Die Vorinstanz durfte - obwohl keine Begründung des Strafurteils vorliegt - bereits gestützt auf die vom Strafgericht verhängte Strafe von einem erheblichen ausländerrechtlichen Verschulden des Beschwerdeführers ausgehen (vgl. BGE 134 II 10 E. 4.2 S. 23; 129 II 215 E. 3.1 S. 216). Soweit der Beschwerdeführer vorbringt, die Straftaten seien auf seine Suchtproblematik zurückzuführen, und er habe mit "vermutlich reduzierter Urteilsfähigkeit" gehandelt, rügt er sinngemäss eine rechtswidrige Erstellung des rechtserheblichen Sachverhalts durch das Verwaltungsgericht. Der Beschwerdeführer verkennt dabei, dass die Vorinstanz an die rechtskräftigen Erkenntnisse des Strafgerichts gebunden ist, welches allfällige schuldmildernde Umstände berücksichtigt (vgl. Urteil 2C_995/2013 vom 24. April 2014 E. 3.1); insbesondere besteht im ausländerrechtlichen Verfahren regelmässig kein Raum, die Beurteilung des Strafgerichts zur Angemessenheit der Sanktion zu relativieren (vgl. Urteile 2C_114/2013 vom 10. September 2013; 2C_1052/2012 vom 2. April 2013 E. 4.3 mit Hinweisen). Die Vorinstanz durfte demnach anhand der stetigen und mitunter schweren Delinquenz - auch unter generalpräventiven Gesichtspunkten - von einem gravierenden Verstoss gegen die Rechtsordnung und einem entsprechend hohen öffentlichen Interesse an der Beendigung des Aufenthalts des Beschwerdeführers ausgehen (vgl. BGE 130 II 176 E. 4.2 bis 4.4 S. 185 ff.; Urteile 2C_963/2012 vom 1. April 2013 E. 5.1.3 ; 2C_218/2011 vom 4. Januar 2012 E. 2).</w:t>
      </w:r>
    </w:p>
    <w:p>
      <w:r>
        <w:t>Der Beschwerdeführer befand sich vom 14. Oktober 2011 bis zum 7. August 2013 im Strafvollzug. In den Führungsberichten zum Strafvollzug aus dem Jahr 2012 wird er als "schwieriger Insasse" beschrieben. Auch wenn dies, wie er selbst vorbringt, auf gesundheitliche Probleme zurückzuführen sein sollte, konnte die Vorinstanz bei ihm keine ernsthaften und substanziierten Bestrebungen feststellen, seiner Drogensucht entgegenzutreten. Im Strafvollzug war er unter anderem nicht gewillt, seine Methadoneinnahme versuchsweise zu reduzieren.</w:t>
      </w:r>
    </w:p>
    <w:p>
      <w:r>
        <w:rPr>
          <w:b/>
        </w:rPr>
        <w:t>E. 3.2</w:t>
      </w:r>
    </w:p>
    <w:p>
      <w:r>
        <w:t>Der Beschwerdeführer bringt vor, infolge der Suchtmittelabhängigkeit gesundheitlich psychisch wie physisch beeinträchtigt zu sein, sodass eine Rückkehr in seine Heimat unzumutbar sei. In verschiedenen von der Vorinstanz herangezogenen psychiatrischen Gutachten wurde festgehalten, der Beschwerdeführer sei weder suizidgefährdet noch bestünden Anzeichen von Wahn oder Sinnestäuschung. Eine Verdachtsdiagnose der paranoiden Schizophrenie wurde nicht bestätigt. Der Beschwerdeführer konsumierte zum Zeitpunkt des vorinstanzlichen Urteils Methadon sowie verschiedene Schlaf- und Beruhigungsmittel. Zur Abklärung der medizinischen Betreuungsmöglichkeiten für den Beschwerdeführer im Kosovo hat sich die Vorinstanz auf einen Consulting Bericht des Bundesamtes für Migration gestützt. Gemäss diesem Bericht, der sich auf die Erkenntnisse der Botschaft vor Ort stützt, sind in Pristina sowohl die Methadoneinnahme auf Verschreiben eines Arztes hin als auch eine Weiterführung der medikamentösen Behandlung (Schlaf- und Beruhigungsmittel) möglich. Es ist davon auszugehen, dass der Beschwerdeführer, allenfalls mit finanzieller Unterstützung seiner in der Schweiz selbstständig erwerbstätigen Eltern, seinem Gesundheitszustand entsprechend medizinisch versorgt werden kann.</w:t>
      </w:r>
    </w:p>
    <w:p>
      <w:r>
        <w:rPr>
          <w:b/>
        </w:rPr>
        <w:t>E. 3.3</w:t>
      </w:r>
    </w:p>
    <w:p>
      <w:r>
        <w:t>Der mittlerweile 25-jährige Beschwerdeführer hält sich seit seinem 4. Lebensjahr und damit seit einer sehr langen Zeit in der Schweiz auf. Er bringt vor, bestens integriert zu sein. Der langen Anwesenheit ist im Rahmen der Verhältnismässigkeitsprüfung ein entsprechendes Gewicht beizumessen (vgl. BGE 130 II 281 E. 3.2.1; Urteil 2C_512/2013 vom 17. Februar 2014 E. 3.1 f. mit Hinweisen). Der Beschwerdeführer hat indessen keine Berufslehre abgeschlossen und war nie regelmässig erwerbstätig. Er ist gemäss den vorinstanzlichen Sachverhaltsfeststellungen verschuldet. Angesichts der Tatsache, dass er seit seinem 18. Lebensjahr wiederholt und schwer straffällig geworden ist, kann er auch nicht als sozial integriert gelten (vgl. Art. 4 lit. a VIntA [SR 142.205]). Insbesondere erwiesen sich sowohl die spezifischen Disziplinarmassnahmen der Schule als auch denjenigen der Jugendanwaltschaft oder der Strafverfolgung selbst als wirkungslos. Entgegen der Ansicht des Beschwerdeführers durfte die Vorinstanz ausserdem davon ausgehen, seine Delinquenz - sie richtete sich unter anderem gegen die körperliche Integrität (versuchter Raub, räuberische Erpressung) - sei nicht allein auf Substanzabhängigkeit zurückzuführen. Im Gegensatz zum von ihm angerufenen Urteil des EGMR i.S.</w:t>
      </w:r>
    </w:p>
    <w:p>
      <w:r>
        <w:t>Emre gegen Schweiz vom 22. Mai 2008 (Nr. 42034/04) Ziff. 64 ff., 74 hat der Beschwerdeführer die gravierende und dem Widerruf der Niederlassungsbewilligung letztlich zugrunde liegende Verurteilung aus dem Jahr 2012 auch nicht als Jugendlicher, sondern als Erwachsener begangen.</w:t>
      </w:r>
    </w:p>
    <w:p>
      <w:r>
        <w:rPr>
          <w:b/>
        </w:rPr>
        <w:t>E. 3.4</w:t>
      </w:r>
    </w:p>
    <w:p>
      <w:r>
        <w:t>Der Beschwerdeführer lebte offenbar vor Antritt des Strafvollzugs im Rahmen seiner Familiengemeinschaft. Ein Abhängigkeitsverhältnis zu seinen Eltern ist durch die erforderliche Methadoneinnahme, wie die Vorinstanz korrekt darlegt, nicht dargetan ( BGE 139 II 393 E. 5.1 S. 402 ; 137 I 154 E. 3.4.2 S. 159; 125 II 521 E. 5 S. 529). Die Beendigung seiner Anwesenheit ist für den Beschwerdeführer zweifelsohne mit einer grossen Härte verbunden. Immerhin sind dem kinderlosen Beschwerdeführer die sozio-kulturellen Gegebenheiten seiner Heimat durch seine Eltern vertraut, auch spricht er unbestrittenermassen die Sprache seines Herkunftlandes. Zwar sind die privaten Interessen des Beschwerdeführers nach einer sehr langen Anwesenheit in der Schweiz zweifellos bedeutend; sie vermögen in Anbetracht der wiederholten und zunehmend schwereren Delinquenz sowie einer erheblichen Rückfallgefahr das gewichtige sicherheitspolizeiliche Interesse an der Beendigung des Aufenthalts indessen nicht zu überwiegen.</w:t>
      </w:r>
    </w:p>
    <w:p>
      <w:r>
        <w:rPr>
          <w:b/>
        </w:rPr>
        <w:t>E. 4</w:t>
      </w:r>
    </w:p>
    <w:p>
      <w:r>
        <w:t>Die Beschwerde ist demnach unbegründet und abzuweisen. Da sie sich aufgrund der langen Landesanwesenheit sowie der gesundheitlichen Beeinträchtigung des Beschwerdeführers nicht als aussichtslos erweist und er ausserdem bedürftig ist, kann die beantragte unentgeltliche Rechtspflege bewilligt und auf die Erhebung von Gerichtskosten verzichtet werden ( Art. 64 Abs. 1 BGG ). Rechtsanwältin Dr. Barbara Wyler reicht für das bundesgerichtliche Verfahren eine Honorarnote von Fr. 4'775.50 ein. Zu berücksichtigen ist, dass sie den Beschwerdeführer bereits über zwei Instanzen vertreten hat und die Parteientschädigung im Armenrecht gemäss Art. 10 des Reglements über die Parteientschädigung und die Entschädigung für die amtliche Vertretung im Verfahren vor Bundesgericht (SR 173.110.210.3) reduziert wird. Eine Entschädigung von Fr. 2'500.-- aus der Gerichtskasse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