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2C_861/2008 vom 4. Juni 2009</w:t>
      </w:r>
    </w:p>
    <w:p>
      <w:r>
        <w:t>Bundesgericht, 2009-06-04, DE</w:t>
      </w:r>
    </w:p>
    <w:p>
      <w:r>
        <w:rPr>
          <w:b/>
        </w:rPr>
        <w:t xml:space="preserve">Quelle: </w:t>
      </w:r>
      <w:r>
        <w:t>https://mcp.opencaselaw.ch/entscheid/bger_2C_861_2008</w:t>
      </w:r>
    </w:p>
    <w:p>
      <w:r>
        <w:t>FR: TF 2C_861/2008 du 4 juin 2009</w:t>
      </w:r>
    </w:p>
    <w:p>
      <w:r>
        <w:t>IT: TF 2C_861/2008 del 4 giugno 2009</w:t>
      </w:r>
    </w:p>
    <w:p>
      <w:pPr>
        <w:pStyle w:val="Heading2"/>
      </w:pPr>
      <w:r>
        <w:t>Erwägungen</w:t>
      </w:r>
    </w:p>
    <w:p>
      <w:r>
        <w:rPr>
          <w:b/>
        </w:rPr>
        <w:t>E. 1.1</w:t>
      </w:r>
    </w:p>
    <w:p>
      <w:r>
        <w:t>Beim angefochtenen Entscheid handelt es sich um einen letztinstanzlichen kantonalen Endentscheid in einer Angelegenheit des öffentlichen Rechts, die unter keinen Ausschlussgrund gemäss Art. 83 BGG fällt und daher mit Beschwerde in öffentlich-rechtlichen Angelegenheiten an das Bundesgericht weitergezogen werden kann ( Art. 82 lit. a, Art. 86 Abs. 1 lit. d und Art. 90 BGG ). Die Beschwerdeführer sind gestützt auf Art. 89 Abs. 1 BGG zur Beschwerde in öffentlich-rechtlichen Angelegenheiten legitimiert. Auf das frist- und formgerecht eingereichte Rechtsmittel ist grundsätzlich einzutreten (vgl. aber nachfolgend E. 1.3).</w:t>
      </w:r>
    </w:p>
    <w:p>
      <w:r>
        <w:rPr>
          <w:b/>
        </w:rPr>
        <w:t>E. 1.2</w:t>
      </w:r>
    </w:p>
    <w:p>
      <w:r>
        <w:t>Mit der Beschwerde kann eine Rechtsverletzung nach Art. 95 und 96 BGG geltend gemacht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legt sodann seinem Urteil den von der Vorinstanz festgestellten Sachverhalt zugrunde ( Art. 105 Abs. 1 BGG ), es sei denn, dieser sei offensichtlich unrichtig oder beruhe auf einer Rechtsverletzung im Sinne von Art. 95 BGG (Art. 105 Abs. 2 bzw. Art. 97 Abs. 1 BGG ).</w:t>
      </w:r>
    </w:p>
    <w:p>
      <w:r>
        <w:rPr>
          <w:b/>
        </w:rPr>
        <w:t>E. 1.3</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Dies setzt voraus, dass sich die Beschwerdeführer wenigstens kurz mit den Erwägungen des angefochtenen Entscheides auseinandersetzen ( BGE 134 II 244 E. 2.1 S. 245 f.).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1.4.2 S. 254). Eine diesen Anforderungen genügende Begründung ist in der vorliegenden Beschwerde nur teilweise zu erkennen, insbesondere soweit die Beschwerdeführer die "Rückvergütung aller aufgelaufenen Kosten" sowie eine "angemessene Entschädigung" beantragen. Inwiefern die Regelung der Kosten- und Entschädigungsfolgen in den vorinstanzlichen Verfahren gegen Bundesrecht, namentlich das Willkürverbot, verstossen soll, begründen die Beschwerdeführer nicht näher. Soweit eine solche qualifizierte Begründung fehlt, kann auf die Beschwerde somit nicht eingetreten werden.</w:t>
      </w:r>
    </w:p>
    <w:p>
      <w:r>
        <w:rPr>
          <w:b/>
        </w:rPr>
        <w:t>E. 2.1</w:t>
      </w:r>
    </w:p>
    <w:p>
      <w:r>
        <w:t>Das angefochtene Urteil beruht auf einer Ermessensveranlagung gemäss § 191 Abs. 3 des Steuergesetzes [des Kantons Aargau] vom 15. Dezember 1998 (StG/AG; SAR 651.100). Eine solche ist vorzunehmen, wenn die steuerpflichtige Person trotz Mahnung ihre Verfahrenspflichten nicht erfüllt hat oder wenn die Steuerfaktoren mangels zuverlässiger Unterlagen nicht einwandfrei ermittelt werden können. Dabei können Erfahrungszahlen, Vermögensentwicklung und Lebensaufwand der steuerpflichtigen Person berücksichtigt werden. Eine nach pflichtgemässem Ermessen vorgenommene Veranlagung kann nur wegen offensichtlicher Unrichtigkeit angefochten werden ( § 192 Abs. 2 StG / AG). Offensichtlich unrichtig ist eine Schätzung, die einen wesentlichen Gesichtspunkt übergangen oder falsch gewürdigt hat. Das Bundesgericht ist an die Ermessenseinschätzung gebunden, wenn sie auf einer richtigen und vollständigen Sachverhaltsermittlung und auf einer sachgerechten Abwägung der Gesamtheit der für die Veranlagung massgebenden Verhältnisse beruht, wobei den zuständigen Behörden ein gewisser Spielraum für die zahlenmässige Auswertung der Untersuchungsergebnisse zusteht; so lange sich ihre Schätzung im Rahmen des so gegebenen Spielraums hält, kann das Bundesgericht nicht eingreifen (Urteil 2C_441/2008 vom 30. Januar 2009 E. 2.3 mit Hinweis).</w:t>
      </w:r>
    </w:p>
    <w:p>
      <w:r>
        <w:rPr>
          <w:b/>
        </w:rPr>
        <w:t>E. 2.2</w:t>
      </w:r>
    </w:p>
    <w:p>
      <w:r>
        <w:t>Die Beschwerdeführer beanstanden nicht, dass eine Ermessensveranlagung vorgenommen wurde. Die im Einspracheverfahren eingereichten Unterlagen erachteten die Steuerbehörden für die Steuerperiode 2001 als nicht beweiskräftig. Materielle Korrekturen mussten unter anderem aufgrund der unklaren Belastungen in der Erfolgsrechnung für die an die B.________ überwiesenen Beträge und aufgrund des massiven Vermögensvergleichsmankos vorgenommen werden. Selbst die Beschwerdeführer anerkennen, dass die Lizenzüberweisungen an die B.________ oft verzögert erfolgten und buchhalterisch nie sauber abgegrenzt wurden. Aus der Lizenzabrechnung des Jahres 2000 ergibt sich, dass erst im Mai 2001 ein Betrag von $ 836'272.-- (ohne korrekte transitorische Verbuchung) an die B.________ überwiesen wurde. Damit erweist sich die ermessensweise Aufrechnung eines unrichtig verbuchten Lizenzaufwands von Fr. 339'400.-- keineswegs als offensichtlich unrichtig (vgl. E. 2.1), zumal die Beschwerdeführer diesen Punkt weder im Rekurs- noch im Beschwerdeverfahren auch nur ansatzweise gerügt haben.</w:t>
      </w:r>
    </w:p>
    <w:p>
      <w:r>
        <w:rPr>
          <w:b/>
        </w:rPr>
        <w:t>E. 2.3</w:t>
      </w:r>
    </w:p>
    <w:p>
      <w:r>
        <w:t>Im Übrigen hat die Vorinstanz im Sinne einer Kontrollrechnung überprüft, ob die vorgenommenen Aufrechnungen auch vor der Vermögensvergleichsrechnung standhalten (vgl. E. 9.1 des angefochtenen Entscheides). Danach ist vom Vermögenszuwachs auszugehen und dieser um den geschätzten Lebens- und Privataufwand zu vermehren (Urteile 2C_618/2007 vom 13. November 2007 E. 4.2; 2A.426/2004 vom 23. November 2004 E. 2.1 in: StR 60/S. 441; 2A.387/1997 vom 16. März 1999 E. 2b, in: Pra 88 Nr. 168). Im vorliegenden Fall machte die - von den Beschwerdeführern nicht angefochtene - Vermögensvermehrung Fr. 335'840.-- aus; hierzu wurde ein Lebens- und Privataufwand von Fr. 196'479.-- (Lebenshaltungskosten Fr. 120'000.--, Kauf von Mobiliar und Textilien Fr. 44'629.--, Privatanteile Fr. 22'600.-- und Lebensversicherung/Krankentaggeld Fr. 9'250.--) hinzugerechnet, was zusammen Fr. 532'319.-- ausmacht. Dieser Betrag liegt damit nur unwesentlich unter dem Betrag von Fr. 547'425.--, welcher aufgrund der - lückenhaften - Buchhaltungsunterlagen ermittelt wurde.</w:t>
      </w:r>
    </w:p>
    <w:p>
      <w:r>
        <w:t>Zusammenfassend erweist sich das von der Vorinstanz ermittelte steuerbare Einkommen von Fr. 547'425.-- als nicht offensichtlich unrichtig im Sinne von § 192 Abs. 2 StG /AG.</w:t>
      </w:r>
    </w:p>
    <w:p>
      <w:r>
        <w:rPr>
          <w:b/>
        </w:rPr>
        <w:t>E. 3</w:t>
      </w:r>
    </w:p>
    <w:p>
      <w:r>
        <w:t>Die Beschwerde in öffentlich-rechtlichen Angelegenheiten erweist sich daher als unbegründet und ist abzuweisen, soweit darauf eingetreten werden kann.</w:t>
      </w:r>
    </w:p>
    <w:p>
      <w:r>
        <w:rPr>
          <w:b/>
        </w:rPr>
        <w:t>E. 4</w:t>
      </w:r>
    </w:p>
    <w:p>
      <w:r>
        <w:t>Entsprechend diesem Verfahrensausgang sind die Kosten des bundesgerichtlichen Verfahrens den Beschwerdeführern unter Solidarhaft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