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2C_860/2021 vom 2. November 2021</w:t>
      </w:r>
    </w:p>
    <w:p>
      <w:r>
        <w:t>Bundesgericht, 2021-11-02, FR</w:t>
      </w:r>
    </w:p>
    <w:p>
      <w:r>
        <w:rPr>
          <w:b/>
        </w:rPr>
        <w:t xml:space="preserve">Quelle: </w:t>
      </w:r>
      <w:r>
        <w:t>https://mcp.opencaselaw.ch/entscheid/bger_2C_860_2021</w:t>
      </w:r>
    </w:p>
    <w:p>
      <w:r>
        <w:t>FR: TF 2C_860/2021 du 2 novembre 2021</w:t>
      </w:r>
    </w:p>
    <w:p>
      <w:r>
        <w:t>IT: TF 2C_860/2021 del 2 novembre 2021</w:t>
      </w:r>
    </w:p>
    <w:p>
      <w:pPr>
        <w:pStyle w:val="Heading2"/>
      </w:pPr>
      <w:r>
        <w:t>Erwägungen</w:t>
      </w:r>
    </w:p>
    <w:p>
      <w:r>
        <w:rPr>
          <w:b/>
        </w:rPr>
        <w:t>E. 1</w:t>
      </w:r>
    </w:p>
    <w:p>
      <w:r>
        <w:t>Par mémoire daté du 27 octobre 2021, mais posté le 1er novembre 2021 (Track &amp; Trace 98.00.250068.03726951), A.A.________ et B.A.________, représentés par Etienne Epengola, ACSCA Cabinet Juridique, ont interjeté un recours auprès du Tribunal fédéral contre l'arrêt rendu en matière de reconsidération de la révocation de l'autorisation d'établissement par le Tribunal cantonal du canton de Neuchâtel le 27 septembre 2021 et notifié le 29 septembre 2021 (Track &amp; Trace 98.03.025248.10043329).</w:t>
      </w:r>
    </w:p>
    <w:p>
      <w:r>
        <w:rPr>
          <w:b/>
        </w:rPr>
        <w:t>E. 2</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l'espèce, l'arrêt du 27 septembre 2021 a été notifié le 29 septembre 2021. Le délai de recours de trente jours courait jusqu'au 29 octobre 2021. Le représentant des recourants ne fait pas valoir de motifs qui pourraient conduire à la restitution du délai de recours. Il affirme au contraire que le recours introduit ce jour (soit le 27 octobre 2021, date de l'écriture) est recevable, ce qui ne correspond pas à la date de remise à la poste. Il apparaît ainsi que le recours daté du 27 octobre mais posté le 1er novembre 2021 est manifestement tardif, puisqu'il a été déposé après le délai de 30 jours de l' art. 100 al. 1 LTF .</w:t>
      </w:r>
    </w:p>
    <w:p>
      <w:r>
        <w:rPr>
          <w:b/>
        </w:rPr>
        <w:t>E. 3</w:t>
      </w:r>
    </w:p>
    <w:p>
      <w:r>
        <w:t>Le recours est ainsi manifestement irrecevable ( art. 108 al. 1 let. a LTF ) et doit être traité selon la procédure simplifiée de l' art. 108 LTF , sans qu'il y ait lieu d'ordonner un échange d'écritures. Les frais causés inutilement sont supportés par celui qui les a engendrés ( art. 66 al. 3 LTF ). Le représentant a posté le mémoire hors délai de recours. Il doit supporter les frais de la procédure.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