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2C_85/2025 vom 19. März 2025</w:t>
      </w:r>
    </w:p>
    <w:p>
      <w:r>
        <w:t>Bundesgericht, 2025-03-19, DE</w:t>
      </w:r>
    </w:p>
    <w:p>
      <w:r>
        <w:rPr>
          <w:b/>
        </w:rPr>
        <w:t xml:space="preserve">Quelle: </w:t>
      </w:r>
      <w:r>
        <w:t>https://mcp.opencaselaw.ch/entscheid/bger_2C_85_2025</w:t>
      </w:r>
    </w:p>
    <w:p>
      <w:r>
        <w:t>FR: TF 2C_85/2025 du 19 mars 2025</w:t>
      </w:r>
    </w:p>
    <w:p>
      <w:r>
        <w:t>IT: TF 2C_85/2025 del 19 marzo 2025</w:t>
      </w:r>
    </w:p>
    <w:p>
      <w:pPr>
        <w:pStyle w:val="Heading2"/>
      </w:pPr>
      <w:r>
        <w:t>Erwägungen</w:t>
      </w:r>
    </w:p>
    <w:p>
      <w:r>
        <w:rPr>
          <w:b/>
        </w:rPr>
        <w:t>E. 1</w:t>
      </w:r>
    </w:p>
    <w:p>
      <w:r>
        <w:t>Das Bundesgericht prüft seine Zuständigkeit und die weiteren Eintretensvoraussetzungen von Amtes wegen ( Art. 29 Abs. 1 BGG ) und mit freier Kognition ( BGE 150 II 273 E. 1; 150 II 346 E. 1.1).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t>Vorliegend beruft sich der Beschwerdeführer in vertretbarer Weise auf einen aus dem nationalen Recht abgeleiteten Anspruch auf Verbleib in der Schweiz: Da er mit einer in der Schweiz niederlassungsberechtigten Person verheiratet war, könnte ihm Art. 50 AIG einen solchen Anspruch vermitteln. Deshalb steht die Beschwerde in öffentlich-rechtlichen Angelegenheiten offen.</w:t>
      </w:r>
    </w:p>
    <w:p>
      <w:r>
        <w:rPr>
          <w:b/>
        </w:rPr>
        <w:t>E. 1.3</w:t>
      </w:r>
    </w:p>
    <w:p>
      <w:r>
        <w:t>Die übrigen Eintretensvoraussetzungen sind erfüllt ( Art. 89 Abs. 1, Art. 42, Art. 100 Abs. 1 BGG ), weshalb auf die Beschwerde einzutreten ist.</w:t>
      </w:r>
    </w:p>
    <w:p>
      <w:r>
        <w:rPr>
          <w:b/>
        </w:rPr>
        <w:t>E. 2.1</w:t>
      </w:r>
    </w:p>
    <w:p>
      <w:r>
        <w:t>Mit der Beschwerde kann unter anderem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3</w:t>
      </w:r>
    </w:p>
    <w:p>
      <w:r>
        <w:t>Der Streitgegenstand vor Bundesgericht umfasst die Frage, ob dem Beschwerdeführer nach Auflösung der Familiengemeinschaft mit seiner in der Schweiz niedergelassenen Ehefrau ein Aufenthaltsanspruch nach Art. 50 Abs. 1 AIG zukommt.</w:t>
      </w:r>
    </w:p>
    <w:p>
      <w:r>
        <w:rPr>
          <w:b/>
        </w:rPr>
        <w:t>E. 3.1</w:t>
      </w:r>
    </w:p>
    <w:p>
      <w:r>
        <w:t>Art. 50 Abs. 1 AIG bestimmt in der bis 31. Dezember 2024 gültigen Fassung, dass nach Auflösung der Ehe oder der Familiengemeinschaft ein Anspruch des Ehegattens und der Kinder auf Erteilung und Verlängerung der Aufenthaltsbewilligung (nach den Art. 42 und 43 AIG ) weiter besteht, wenn (lit. a) die Gemeinschaft mindestens drei Jahre bestanden hat und die Integrationskriterien nach Art. 58a AIG erfüllt sind; oder (lit. b) wichtige persönliche Gründe einen weiteren Aufenthalt in der Schweiz erforderlich machen.</w:t>
      </w:r>
    </w:p>
    <w:p>
      <w:r>
        <w:rPr>
          <w:b/>
        </w:rPr>
        <w:t>E. 3.2</w:t>
      </w:r>
    </w:p>
    <w:p>
      <w:r>
        <w:t>Der Bundesgesetzgeber ergänzte Art. 50 AIG per 1. Januar 2025 in verschiedener Hinsicht mit dem Ziel, die bestehende Härtefallregelung für ausländische Personen zu erweitern (Änderung vom 14. Juni 2024 [Härtefallregelung bei häuslicher Gewalt]; AS 2024 713 ff.; vgl. den Bericht der Staatspolitischen Kommission des Nationalrates vom 12. Oktober 2023, BBl 2023 2418 ff., sowie die Stellungnahme des Bundesrates vom 29. November 2023, BBl 2023 2851 ff.). Ob der revidierte Art. 50 AIG vorliegend bereits Anwendung findet, kann jedoch offen gelassen werden, da die genannte Gesetzesänderung vom 14. Juni 2024, deren Fokus auf der häuslichen Gewalt liegt, für den vorliegenden Fall nicht relevant ist (vgl. Urteil 2C_128/2024 vom 12. Februar 2025 E. 3).</w:t>
      </w:r>
    </w:p>
    <w:p>
      <w:r>
        <w:rPr>
          <w:b/>
        </w:rPr>
        <w:t>E. 4</w:t>
      </w:r>
    </w:p>
    <w:p>
      <w:r>
        <w:t>Die Vorinstanz kam zum Ergebnis, die tatsächlich gelebte Familiengemeinschaft zwischen dem Beschwerdeführer und seiner vormaligen Ehefrau habe weniger als drei Jahre gedauert, weshalb ein Aufenthaltsanspruch nach Art. 50 Abs. 1 lit. a AIG von vornherein ausscheide. Der Beschwerdeführer wendet sich vor Bundesgericht gegen diese Beurteilung und bringt vor, die Vorinstanz stelle den Sachverhalt willkürlich fest.</w:t>
      </w:r>
    </w:p>
    <w:p>
      <w:r>
        <w:rPr>
          <w:b/>
        </w:rPr>
        <w:t>E. 4.1</w:t>
      </w:r>
    </w:p>
    <w:p>
      <w:r>
        <w:t>Eine ausländerrechtlich relevante Ehegemeinschaft liegt vor, solange die eheliche Beziehung tatsächlich gelebt wird und ein gegenseitiger Ehewille besteht ( BGE 137 II 345 E. 3.1.2; Urteile 2C_10/2023 vom 31. Mai 2023 E. 3.1; 2C_888/2022 vom 10. März 2023 E. 3.1; 2C_862/2021 vom 16. März 2022 E. 4.2). Dabei ist im Regelfall auf die Dauer der nach aussen wahrnehmbaren ehelichen Wohngemeinschaft abzustellen ( BGE 138 II 229 E. 2; Urteile 2C_99/2024 vom 26. Juli 2024 E. 3.1.1; 2C_294/2022 vom 28. Juli 2022 E. 4.2.1; 2C_301/2020 vom 8. Juni 2020 E. 4.2.1). Ob eine relevante Ehegemeinschaft während der gesetzlichen Frist von drei Jahren effektiv gelebt wurde, ist eine Tatfrage, welche das Bundesgericht nur unter Willkürgesichtspunkten überprüft (vgl. Urteil 2C_99/2024 vom 26. Juli 2024 E. 3.1.3).</w:t>
      </w:r>
    </w:p>
    <w:p>
      <w:r>
        <w:rPr>
          <w:b/>
        </w:rPr>
        <w:t>E. 4.2</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140 III 264 E. 2.3; Urteile 2C_822/2021 vom 26. Januar 2022 E. 4.1; 2C_246/2022 vom 31. Januar 2023 E. 4.1), und ebenso wenig genügt es, wenn eine andere Würdigung der tatsächlichen Umstände ebenfalls vertretbar oder sogar plausibler ist ( BGE 144 V 50 E. 4.2; Urteil 2C_340/2023 vom 28. März 2024 E. 4.1).</w:t>
      </w:r>
    </w:p>
    <w:p>
      <w:r>
        <w:rPr>
          <w:b/>
        </w:rPr>
        <w:t>E. 4.3</w:t>
      </w:r>
    </w:p>
    <w:p>
      <w:r>
        <w:t>Die Vorinstanz stellte gestützt auf den Polizeirapport zum Hausbesuch vom 14. Dezember 2021 fest, dass weder persönliche Utensilien noch Kleider des Beschwerdeführers im Haushalt der Ex-Ehefrau vorhanden waren. Darin erblickte das kantonale Gericht ein Indiz für eine nicht (mehr) gelebte Familiengemeinschaft. Weiter stellte die Vorinstanz auf die Aussagen der Ex-Ehefrau des Beschwerdeführers ab, wie sie im Polizeirapport dokumentiert sind. Zwar habe die Ex-Ehefrau diese Aussagen nachträglich relativiert und geltend gemacht, sie habe eigentlich sagen wollen, sie habe den Ehemann seit zwei Tagen - anstatt seit zwei Jahren - nicht mehr gesehen. Die Vorinstanz qualifizierte diese nachträgliche "Berichtigung" aber als nicht überzeugend (angefochtenes Urteil, E. 3.3.3 f.). Auf dieser Grundlage verneinte die Vorinstanz eine tatsächliche und von einem gegenseitigen Ehewillen getragene Familiengemeinschaft (angefochtenes Urteil, E. 3.4.3), wobei sie das Ende des Zusammenlebens auf das Jahr 2020 datierte. Die Vorinstanz nahm dabei zugunsten des Beschwerdeführers an, seine Ex-Ehefrau habe sich bei den Angaben gegenüber der Kantonspolizei um ein ganzes Jahr geirrt (angefochtenes Urteil, E. 3.5). Die Dauer des Zusammenlebens habe ungeachtet dessen - gerechnet ab dem Zeitpunkt des Beginns der Familiengemeinschaft in der Schweiz im Februar 2018 - weniger als drei Jahre gedauert (angefochtenes Urteil, E. 3.5).</w:t>
      </w:r>
    </w:p>
    <w:p>
      <w:r>
        <w:rPr>
          <w:b/>
        </w:rPr>
        <w:t>E. 4.4</w:t>
      </w:r>
    </w:p>
    <w:p>
      <w:r>
        <w:t>Der Beschwerdeführer stellt den Erwägungen der Vorinstanz seine eigene Würdigung der Sachumstände entgegen, ohne aber konkret aufzuzeigen, inwiefern die Vorinstanz in Willkür verfallen sein soll. Insbesondere genügt es nicht, wenn der Beschwerdeführer die einzelnen von der Vorinstanz gewürdigten Indizien aus seiner Warte kommentiert. Er müsste vielmehr darlegen, wo und inwiefern die Vorinstanz sich in Widerspruch zu den Akten setzt oder unhaltbare Schlüsse zieht. Es bleibt daher bei den Feststellungen der Vorinstanz zur effektiven Dauer der Familiengemeinschaft.</w:t>
      </w:r>
    </w:p>
    <w:p>
      <w:r>
        <w:rPr>
          <w:b/>
        </w:rPr>
        <w:t>E. 4.5</w:t>
      </w:r>
    </w:p>
    <w:p>
      <w:r>
        <w:t>Da die Familiengemeinschaft nicht drei Jahre gedauert hat, kann offenbleiben, ob beim Beschwerdeführer die Integrationskriterien (Art. 50 Abs. 1 lit. a i.V.m. Art. 58a AIG ) erfüllt sind.</w:t>
      </w:r>
    </w:p>
    <w:p>
      <w:r>
        <w:rPr>
          <w:b/>
        </w:rPr>
        <w:t>E. 5</w:t>
      </w:r>
    </w:p>
    <w:p>
      <w:r>
        <w:t>Der Beschwerdeführer wirft der Vorinstanz weiter vor, einen persönlichen Härtefall nach Art. 50 Abs. 1 lit. b und Abs. 2 AIG zu Unrecht verneint zu haben.</w:t>
      </w:r>
    </w:p>
    <w:p>
      <w:r>
        <w:rPr>
          <w:b/>
        </w:rPr>
        <w:t>E. 5.1</w:t>
      </w:r>
    </w:p>
    <w:p>
      <w:r>
        <w:t>Wichtige persönliche Gründe können namentlich vorliegen, wenn die soziale Wiedereingliederung im Herkunftsland stark gefährdet erscheint (Art. 50 Abs. 2 zweiter Satzteil AIG). Bei der Beurteilung der wichtigen persönlichen Gründe sind sämtliche Aspekte des Einzelfalls mitzuberücksichtigen ( BGE 138 II 229 E. 3.1). Dazu zählen die Integration der ausländischen Person, die Familienverhältnisse, die Dauer der Anwesenheit in der Schweiz, der Gesundheitszustand, die finanziellen Verhältnisse und die Möglichkeit der Wiedereingliederung im Herkunftsland ( Art. 31 Abs. 1 der Verordnung über die Zulassung, Aufenthalt und Erwerbstätigkeit [VZAE; SR 142.201] ; Urteile 2C_435/2023 vom 14. Dezember 2023 E. 6.1; 2C_8/2023 vom 3. Mai 2023 E. 3.1; 2C_827/2022 vom 31. März 2023 E. 3.3). Wurden keine engen Beziehungen zur Schweiz geknüpft und war der Aufenthalt im Land nur von kurzer Dauer, besteht praxisgemäss kein Anspruch auf weiteren Verbleib in der Schweiz, wenn die erneute Integration im Herkunftsland keine besonderen Probleme stellt ( BGE 138 II 299 E. 3.1; Urteil 2C_99/2024 vom 26. Juli 2024 E. 3.2.1).</w:t>
      </w:r>
    </w:p>
    <w:p>
      <w:r>
        <w:rPr>
          <w:b/>
        </w:rPr>
        <w:t>E. 5.2</w:t>
      </w:r>
    </w:p>
    <w:p>
      <w:r>
        <w:t>Gemäss Feststellungen der Vorinstanz leidet der Beschwerdeführer an psychischen Problemen. Die medizinische Versorgung sei aber - so die Vorinstanz - im Kosovo gewährleistet, jedenfalls in grösseren Städten. Das kantonale Gericht stützte sich in diesem Punkt auf Ausführungen des Eidgenössischen Departements für auswärtige Angelegenheiten (EDA, angefochtenes Urteil, E. 4.3.4). Sodann schloss sich die Vorinstanz im Wesentlichen der Beurteilung ihrer Vorinstanz an, wonach der Beschwerdeführer seine gesamte Kindheit, Jugend und einen Teil des Erwachsenenlebens im Kosovo verbracht habe. Er sei mit der dortigen Sprache und Kultur vertraut. Auch während seinem Aufenthalt in der Schweiz sei der Beschwerdeführer mindestens einmal pro Jahr in den Kosovo gereist, wo seine Eltern und Brüder lebten (vgl. angefochtenes Urteil, E. 4.2 und E. 4.3).</w:t>
      </w:r>
    </w:p>
    <w:p>
      <w:r>
        <w:rPr>
          <w:b/>
        </w:rPr>
        <w:t>E. 5.3</w:t>
      </w:r>
    </w:p>
    <w:p>
      <w:r>
        <w:t>Der Beschwerdeführer hält dem einzig entgegen, die therapeutische und medikamentöse Begleitung seiner psychischen Probleme seien im Heimatland nicht gewährleistet. Soweit er mit diesen Vorbringen die tatsächlichen Grundlagen des angefochtenen Urteils in Frage stellt, zeigt er nicht auf, inwiefern die Vorinstanz in Willkür verfallen ist. Ausgehend von den Feststellungen im angefochtenen Urteil ist die therapeutische und medikamentöse Weiterbehandlung im Kosovo sichergestellt. Als erschwerender Faktor fällt einzig der Wechsel des behandelnden Therapeuten bzw. der behandelnden Therapeutin in Betracht. Allein dieser Umstand bewirkt jedoch keinen Härtefall im Sinn des Gesetzes. Wie die Vorinstanz sodann zutreffend festhält, verbrachte der Beschwerdeführer den Grossteil seines Lebens im Kosovo und bewahrte auch während des Aufenthalts in der Schweiz den Kontakt zu seinem Heimatland. Dort leben zahlreiche Familienangehörige, weshalb er im Kosovo über einen sozialen Empfangsraum verfügt. Die berufliche Reintegration in seiner Heimat mag mit Schwierigkeiten verbunden sein. Zu beachten ist aber, dass der Beschwerdeführer bis zum 28. Altersjahr im Kosovo lebte. Weshalb er seine (Rest-) Arbeitsfähigkeit im Kosovo nicht wieder verwerten könnte, ist vor diesem Hintergrund nicht einsehbar. Die Vorinstanz hat aus diesen Gründen zu Recht einen nachehelichen Härtefall verneint.</w:t>
      </w:r>
    </w:p>
    <w:p>
      <w:r>
        <w:rPr>
          <w:b/>
        </w:rPr>
        <w:t>E. 6</w:t>
      </w:r>
    </w:p>
    <w:p>
      <w:r>
        <w:t>Die Beschwerde ist demnach abzuweisen. Der unterliegende Beschwerdeführer wird kostenpflichtig ( Art. 66 Abs. 1 BGG ). Das Gesuch um unentgeltliche Rechtspflege muss abgewiesen werden, da das Rechtsmittel als aussichtslos zu qualifizieren ist ( Art. 64 Abs. 1 BGG ). Den finanziellen Verhältnissen des Beschwerdeführers wird bei den Gerichtskosten Rechnung getragen.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