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85/2016 vom 14. November 2016</w:t>
      </w:r>
    </w:p>
    <w:p>
      <w:r>
        <w:t>Bundesgericht, 2016-11-14, FR</w:t>
      </w:r>
    </w:p>
    <w:p>
      <w:r>
        <w:rPr>
          <w:b/>
        </w:rPr>
        <w:t xml:space="preserve">Quelle: </w:t>
      </w:r>
      <w:r>
        <w:t>https://mcp.opencaselaw.ch/entscheid/bger_2C_85_2016</w:t>
      </w:r>
    </w:p>
    <w:p>
      <w:r>
        <w:t>FR: TF 2C 85/2016 du 14 novembre 2016</w:t>
      </w:r>
    </w:p>
    <w:p>
      <w:r>
        <w:t>IT: TF 2C 85/2016 del 14 novembre 2016</w:t>
      </w:r>
    </w:p>
    <w:p>
      <w:pPr>
        <w:pStyle w:val="Heading2"/>
      </w:pPr>
      <w:r>
        <w:t>Regeste</w:t>
      </w:r>
    </w:p>
    <w:p>
      <w:r>
        <w:t>Impôt fédéral direct et Impôt cantonal et communal des périodes 2003 à 2005; reprise d'impôt | Finances publiques &amp; droit fiscal</w:t>
      </w:r>
    </w:p>
    <w:p>
      <w:pPr>
        <w:pStyle w:val="Heading2"/>
      </w:pPr>
      <w:r>
        <w:t>Erwägungen</w:t>
      </w:r>
    </w:p>
    <w:p>
      <w:r>
        <w:rPr>
          <w:b/>
        </w:rPr>
        <w:t>E. 1</w:t>
      </w:r>
    </w:p>
    <w:p>
      <w:r>
        <w:t>La Commission de recours a rendu une seule décision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l'IFD (2C_86/2016), l'autre l'ICC (2C_85/2016).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finale (cf. art. 90 LTF ) rendue dans une cause de droit public (cf. art. 82 let. a LTF ), par une autorité cantonale supérieure de dernière instance (cf. art. 86 al. 1 let . d et al. 2 LTF; art. 150 al. 2 de la loi fiscale valaisanne du 10 mars 1976 [LF; RS/VS 642.1])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compte tenu des féries ( art. 46 al. 1 let . c et art. 100 al. 1 LTF ) et dans les formes requises (cf. art. 42 al. 1 et 2 LTF ), le recours est en principe recevable.</w:t>
      </w:r>
    </w:p>
    <w:p>
      <w:r>
        <w:rPr>
          <w:b/>
        </w:rPr>
        <w:t>E. 3</w:t>
      </w:r>
    </w:p>
    <w:p>
      <w:r>
        <w:t>Dans un premier grief de nature formelle, qu'il convient d'examiner en premier lieu (cf. ATF 138 I 232 consid. 5.1 p. 237), le recourant se plaint d'une violation de son droit d'être entendu au sens de l' art. 29 al. 2 Cst.</w:t>
      </w:r>
    </w:p>
    <w:p>
      <w:r>
        <w:rPr>
          <w:b/>
        </w:rPr>
        <w:t>E. 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139 II 489 consid. 3.3 p. 496; 139 I 189 consid. 3.2 p. 191 s.; 138 I 484 consid. 2.1 p. 485 s.; 138 I 154 consid. 2.3.3 p. 157; 137 I 195 consid. 2.3.1 p. 197). La jurisprudence a également déduit du droit d'être entendu garanti par l' art. 29 al. 2 Cst. le droit pour le justiciable de fournir des preuves quant aux faits de nature à influer sur le sort de la décision ( ATF 140 I 285 consid. 6.3.1 p. 299; 135 I 279 consid. 2.3 p. 282). D'après l' art. 115 LIFD , les offres de preuves du contribuable doivent être acceptées, à condition qu'elles soient propres à établir des faits pertinents pour la taxation.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298 s. et les arrêts cités). Le refus d'une mesure probatoire par appréciation anticipée des preuves ne peut être remis en cause devant le Tribunal fédéral qu'en invoquant l'arbitraire ( art. 9 Cst. ) de manière claire et détaillée ( art. 106 al. 2 LTF ; cf. arrêt 2C_500/2015 du 23 octobre 2015 consid. 2.1).</w:t>
      </w:r>
    </w:p>
    <w:p>
      <w:r>
        <w:rPr>
          <w:b/>
        </w:rPr>
        <w:t>E. 3.2</w:t>
      </w:r>
    </w:p>
    <w:p>
      <w:r>
        <w:t>En l'occurrence, le recourant reproche à l'instance précédente d'avoir refusé de procéder aux auditions de E.________, paysagiste, et de B.________, nouvel actionnaire de la société X.________ (devenue société C.________ SA). Le recourant voulait démontrer que la situation relative à la construction de sa villa n'était pas encore définitivement réglée. Ainsi, en l'absence de décompte final, l'instance précédente ne pouvait pas considérer que le contribuable avait obtenu une prestation appréciable en argent de la part de la société X.________ sur la construction de la villa. S'agissant d'abord de la requête visant à auditionner E.________, le recourant soutient que son témoignage aurait permis d'éclaircir la situation s'agissant des aménagements extérieurs. Or, dans la mesure où le recourant ne prétend pas avoir pris à sa charge le coût de ces aménagements, en contrepartie de quoi la société aurait renoncé à exiger une prétention due en lien avec la construction de la villa, on voit mal en quoi ce fait aurait pu être pertinent pour l'issue du litige. Quant au témoignage de B.________, le recourant soutient qu'il aurait pu permettre d'obtenir des précisions au sujet de la convention du 5 mars 2014, par laquelle le recourant s'était engagé à verser un montant global de 1'200'000 fr. à la société C.________ SA "en liquidation de toutes autres prétentions mutuelles". D'après l'intéressé, le témoin aurait pu confirmer que, contrairement à ce qu'ont retenu les juges précédents, la convention en cause visait en particulier la villa, de sorte que les prétentions que la société C.________ SA pouvaient faire valoir à l'égard du recourant en lien avec la construction de sa villa auraient été réglées par le versement du montant prévu par la convention. En l'occurrence, il n'est pas insoutenable de considérer, comme l'a fait la décision entreprise, que le témoin requis n'aurait pas été en mesure d'apporter les éléments de fait supplémentaires invoqués par le recourant. En effet, on voit mal comment l'actionnaire de la société C.________ SA qui, en 2014, a convenu de fixer un montant forfaitaire afin de régler un certain nombre de litiges l'opposant au recourant, aurait pu apporter des détails précis et chiffrés à propos d'un différend remontant à 2003. La fixation d'un montant forfaitaire pour le règlement de plusieurs litiges mentionnés "à titre exemplatif et non à titre exhaustif", comme le précise la convention en question (cf. arrêt attaqué, p. 20), laisse supposer le contraire. Dans ces conditions, la Commission de recours pouvait sans arbitraire considérer qu'il n'était pas indispensable de donner suite à la requête d'audition du recourant. Pour le reste, en tant que le recourant se plaint de ce qu'il n'aurait pas pu faire valoir sa position de façon circonstanciée, son grief, à supposer qu'il soit suffisamment motivé sous l'angle de l' art. 106 al. 2 LTF , tombe à faux. D'une part, l'intéressé a eu tout loisir de faire valoir sa position dans le cadre de la procédure de recours sur le plan cantonal. D'autre part, sur la base des pièces figurant au dossier, les juges précédents pouvaient, sans arbitraire, considérer que l'état de fait était suffisamment établi.</w:t>
      </w:r>
    </w:p>
    <w:p>
      <w:r>
        <w:rPr>
          <w:b/>
        </w:rPr>
        <w:t>E. 3.3</w:t>
      </w:r>
    </w:p>
    <w:p>
      <w:r>
        <w:t>La juridiction cantonale n'a donc pas procédé à une appréciation anticipée des preuves arbitraire ni, par conséquent, violé le droit d'être entendu du recourant, en refusant de donner suite à ses offres de preuve.</w:t>
      </w:r>
    </w:p>
    <w:p>
      <w:r>
        <w:rPr>
          <w:b/>
        </w:rPr>
        <w:t>E. 4</w:t>
      </w:r>
    </w:p>
    <w:p>
      <w:r>
        <w:t>S 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arrêt 2C_122/2012 du 1er novembre 2012 consid. 3.1)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 I.       Impôt fédéral direct</w:t>
      </w:r>
    </w:p>
    <w:p>
      <w:r>
        <w:rPr>
          <w:b/>
        </w:rPr>
        <w:t>E. 5</w:t>
      </w:r>
    </w:p>
    <w:p>
      <w:r>
        <w:t>Sur le fond, le litige porte d'abord sur deux reprises fiscales effectuées au titre de prestations appréciables en argent.</w:t>
      </w:r>
    </w:p>
    <w:p>
      <w:r>
        <w:rPr>
          <w:b/>
        </w:rPr>
        <w:t>E. 5.1</w:t>
      </w:r>
    </w:p>
    <w:p>
      <w:r>
        <w:t>Selon l' art. 20 al. 1 let . c LIFD, est imposable au titre de rendement de la fortune mobilière les dividendes, les parts de bénéfice, les excédents de liquidation et tous autres avantages appréciables en argent provenant de participations en tout genre. Il y a avantage appréciable en argent: 1) lorsqu'une société fait une prestation sans obtenir de contre-prestation correspondante; 2) que cette prestation est accordée à un actionnaire ou à une personne le ou la touchant de près; 3) qu'elle n'aurait pas été accordée à de telles conditions à un tiers et que 4) la disproportion entre la prestation et la contre-prestation est manifeste, de telle sorte que les organes de la société savaient ou auraient pu se rendre compte de l'avantage qu'ils accordaient ( ATF 140 II 88 consid. 4.1 p. 92 s.; 138 II 57 consid. 2.2 p. 59; arrêt 2C_445/2015 et 2C_446/2015 du 26 août 2016 consid. 6.3.1). Selon la jurisprudence, il y a aussi avantage appréciable en argent lorsque des produits qui auraient dû être comptabilisés dans le chef d'une personne morale ne le sont pas, ou que cette dernière renonce à réaliser un revenu en faveur de l'actionnaire ou d'un proche (cf. notamment arrêts 2C_377/2014 du 26 mai 2015 consid. 9.4 à 9.4.3; 2C_88/2011 du 3 octobre 2011 consid. 2.2 à 2.2.3, traduit in RDAF 2012 II 131; 2A.347/2002 du 2 juin 2003 consid. 4.2; 2A.102/1994 du 12 octobre 1995 consid. 3a, in RDAF 1996 p. 87; 2A.248/1994 du 4 avril 1995 consid. 7, in RDAF 1996 p. 172). Un avantage appréciable en argent au sens de l' art. 20 al. 1 let . c LIFD représente, du point de vue de la société distributrice, un élément du bénéfice imposable en vertu de l'art. 58 al. 1 let. b dernier tiret LIFD (distributions dissimulées de bénéfice et avantages à des tiers non justifiés par l'usage commercial) ou de l' art. 58 let . al. 1 let. c LIFD (produits non comptabilisés). Cette figure conduit ainsi à une reprise tant au niveau de l'impôt sur le revenu pour le bénéficiaire de l'avantage qu'à celui de l'impôt sur le bénéfice pour la société distributrice, ce qui concrétise la double imposition économique voulue par le législateur ( ATF 136 I 65 consid. 5.4 p. 76 s.; 136 I 49 consid. 5.4 p. 60 s.; arrêt 2C_445/2015 et 2C_446/2015 du 26 août 2016 consid. 6.3.4).</w:t>
      </w:r>
    </w:p>
    <w:p>
      <w:r>
        <w:rPr>
          <w:b/>
        </w:rPr>
        <w:t>E. 5.2</w:t>
      </w:r>
    </w:p>
    <w:p>
      <w:r>
        <w:t>Il appartient à l'autorité fiscale de démontrer l'existence d'éléments créant ou augmentant la charge fiscale, alors que le contribuable supporte le fardeau de la preuve des éléments qui réduisent ou éteignent son obligation fiscale (cf. ATF 133 II 153 consid. 4.3 p. 158; arrêt 2C_795/2015 du 3 mai 2016 consid. 2.3).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 2C_927/2013 21 mai 2014 consid. 5.4, in RDAF 2014 II 463). Par ailleurs, une fois qu'un fait est tenu pour établi, la question du fardeau de la preuve ne se pose plus ( ATF 137 III 226 consid. 4.3 p. 235; 128 III 22 consid. 2d p. 25).</w:t>
      </w:r>
    </w:p>
    <w:p>
      <w:r>
        <w:rPr>
          <w:b/>
        </w:rPr>
        <w:t>E. 5.2.1</w:t>
      </w:r>
    </w:p>
    <w:p>
      <w:r>
        <w:t>Le recourant conteste d'abord la reprise de 126'889 fr., à titre de prestation appréciable en argent sur la construction de sa villa. En l'occurrence, la Commission de recours a retenu qu'en 2000 le recourant avait acquis en copropriété avec sa compagne une parcelle sise sur le territoire de la commune de A.________. Le 20 août 2000, les deux copropriétaires avaient conclu avec la société X.________ un contrat d'entreprise générale en vue de la construction sur cette parcelle d'une villa individuelle au prix forfaitaire de 2'600'000 fr. Lors de l'achèvement de la construction, en 2003, aucune facture ni décompte de plus ou de moins-value n'avait été établi. Au 31 décembre 2003, le compte de construction auprès de la société indiquait un coût total de 2'473'111 fr. Le recourant avait effectué des versements à hauteur de 1'414'000 fr. A la même date, le solde de 1'059'111 fr. (= 2'473'111./. 1'414'000) avait été débité du compte-courant actionnaire. Aucun bénéfice n'avait ainsi été comptabilisé pour la réalisation de la villa. Par décision du 26 octobre 2011, la Commission de recours avait estimé que la différence entre le prix convenu de 2'600'000 fr. et le coût total de construction de 2'473'111 fr., soit 126'889 fr., constituait une distribution dissimulée de bénéfice et a réintégré ce montant dans le bénéfice imposable de la société pour la période fiscale 2003. Cette décision a été confirmée en dernière instance par le Tribunal fédéral (2C_645/2012 et 2C_646/2012). Dans la décision entreprise, les juges précédents ont repris ce raisonnement s'agissant de l'imposition du recourant. Ils ont considéré que le montant de 126'889 fr. constituait une prestation octroyée par la société X.________ au contribuable en raison de sa qualité d'actionnaire et en l'absence de toute contre-prestation correspondante. Dès lors que ce montant avait été repris au niveau de la société, une reprise du même montant devait également être effectuée auprès du recourant. Le recourant conteste l'absence de contre-prestation équivalente. D'après l'intéressé, la différence entre le prix convenu (2'600'000 fr.) et le coût total de construction (2'473'111 fr.) due à la société a été réglée par convention du 5 mars 2014, laquelle aurait "englobé la finalisation de cette affaire". Par cette argumentation, le recourant se limite à opposer sa propre interprétation des faits à celle retenue dans l'arrêt entrepris. Sur ce point, les juges précédents avaient en effet retenu que dite convention ne contenait "aucune indication relative au détail du montant de 1'200'000 fr.", ne réglant "pas expressément le solde de la villa de 126'889 fr.". Dans la mesure où le recourant n'indique pas en quoi l'appréciation des faits et des preuves opérée par la Commission de recours serait insoutenable, sa critique est irrecevable (cf. supra consid. 4). Ainsi, le recourant, qui ne conteste pas avoir perçu un solde de 126'889 fr. sur la construction de sa villa, ne parvient pas à démontrer l'existence d'une contre-prestation équivalente en faveur de la société. Or, du moment que l'administration fiscale a établi l'absence de contre-prestation équivalente, il incombait à l'intéressé d'établir l'exactitude de ses allégations contraires (cf. consid. 5.2). La Commission de recours n'a partant pas violé le droit fédéral en retenant que la société avait accordé une prestation appréciable en argent à son actionnaire. L'avantage obtenu par le recourant était en outre reconnaissable par les parties et ne s'expliquait que par la position d'actionnaire unique du contribuable. La décision entreprise doit ainsi être confirmée sur ce point.</w:t>
      </w:r>
    </w:p>
    <w:p>
      <w:r>
        <w:rPr>
          <w:b/>
        </w:rPr>
        <w:t>E. 5.2.2</w:t>
      </w:r>
    </w:p>
    <w:p>
      <w:r>
        <w:t>Le recourant conteste ensuite le montant des reprises effectuées en relation avec l'usage à des fins privées des véhicules de haut standing acquis par la société. Il fait valoir pour seul argument qu'il détient d'autres véhicules à titre privé (Hummer, Toyota Hilux et une Mercedes SLK), ce qui, d'après l'intéressé, aurait dû entraîner une réduction de la part privée retenue par l'autorité fiscale. En tant qu'elle s'appuie sur un élément de fait qui ne ressort pas de l'arrêt attaqué, sans que le recourant n'expose en quoi les faits auraient été établis de façon manifestement inexacte ou en violation du droit au sens de l' art. 95 LTF (cf. art. 97 al. 1 LTF ; cf. supra consid. 4), cette allégation, du reste nullement étayée, est irrecevable. Pour le reste, le recourant ne conteste pas la qualification de prestations appréciables en argent en lien avec l'utilisation privée de véhicules professionnels. A juste titre, dans la mesure où tous les éléments caractéristiques de prestations appréciables en argent sont réunies en l'espèce. En effet, le contribuable a profité d'avantages appréciables en argent sans contre-prestations équivalentes en faveur de la société puisqu'aucune part privée n'a été comptabilisée. Il en résulte ainsi une disproportion manifeste, reconnaissable par les parties, qui ne peut s'expliquer que par la position d'actionnaire unique qu'avait le contribuable au sein de la société. La décision entreprise doit partant également être confirmée sur ce point.</w:t>
      </w:r>
    </w:p>
    <w:p>
      <w:r>
        <w:rPr>
          <w:b/>
        </w:rPr>
        <w:t>E. 6</w:t>
      </w:r>
    </w:p>
    <w:p>
      <w:r>
        <w:t>Enfin, le recourant conteste le montant de la reprise de 141'000 fr. sur la vente du terrain des "D.________". Il reproche à l'instance précédente de n'avoir pas tenu compte des intérêts hypothécaires versés en 2001 et en 2002 en déduction du gain réalisé. Il se plaint également de ce que la Commission de recours ne s'est pas prononcée sur cette question. L'intéressé y voit un déni de justice.</w:t>
      </w:r>
    </w:p>
    <w:p>
      <w:r>
        <w:rPr>
          <w:b/>
        </w:rPr>
        <w:t>E. 6.1</w:t>
      </w:r>
    </w:p>
    <w:p>
      <w:r>
        <w:t>Selon la jurisprudence, l'autorité qui ne traite pas un grief relevant de sa compétence, motivé de façon suffisante et pertinente pour l'issue du litige commet un déni de justice formel proscrit par l' art. 29 al. 1 Cst. ( ATF 135 I 6 consid. 2.1 p. 9;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2C_931/2015 du 12 octobre 2016 consid. 2.1; 1C_167/2015 18 août 2015 consid. 3). En l'occurrence, la décision entreprise porte uniquement sur les "décisions de taxation fiscales contestées et relatives aux périodes 2003, 2004 et 2005". On comprend ainsi a contrario que la Commission de recours ne se prononce pas sur les périodes fiscales 2001 et 2002 dans la mesure où elles sortent de l'objet du litige. La question de savoir si le raisonnement de la Commission de recours est conforme au droit sera examiné ci-après. Le grief relatif au déni de justice doit partant être écarté.</w:t>
      </w:r>
    </w:p>
    <w:p>
      <w:r>
        <w:rPr>
          <w:b/>
        </w:rPr>
        <w:t>E. 6.2</w:t>
      </w:r>
    </w:p>
    <w:p>
      <w:r>
        <w:t>Sur le fond, le litige revient à se demander si le refus par les autorités fiscales de déduire du bénéfice réalisé en 2005 sur la vente du terrain des "D.________" (arrêté à 141'000 fr.) les intérêts hypothécaires versés par le contribuable en 2001 et 2002 est conforme au droit. L' art. 27 al. 1 LIFD dispose que les contribuables exerçant une activité lucrative indépendante peuvent déduire les frais qui sont justifiés par l'usage commercial ou professionnel. Les intérêts des dettes commerciales font notamment partie de ces frais ( art. 27 al. 2 let . d LIFD). Le Tribunal fédéral a rappelé que les déductions prévues à l' art. 27 LIFD étaient soumises au principe de périodicité, ce qui impliquait qu'elles n'étaient déductibles d'une période fiscale que lorsqu'elles trouvaient leur cause dans des événements ayant eu lieu durant cette période ( ATF 137 II 353 consid. 6.1 p. 359; arrêt 2C_627/2014 et 2C_628/2014 du 8 janvier 2015 consid. 6.1). Dans la décision entreprise, la Commission de recours a retenu que, s'agissant de la période fiscale 2005, le recourant avait réalisé un bénéfice de 141'000 fr. sur la vente du terrain des "D.________", sis à Sion. L'autorité précédente a également confirmé la prise en compte, à titre de déduction, des intérêts hypothécaires versés par le recourant pour les années 2003, 2004 et 2005. Devant le Tribunal fédéral, le recourant reproche à l'instance précédente de n'avoir tenu compte des intérêts hypothécaires versés en 2001 et en 2002. Il soutient que ces intérêts étaient tombés dans la brèche fiscale liée au passage du système praenumerando bisannuel au système postnumerando annuel, de sorte que l'autorité de taxation ne les aurait jamais admis en déduction de ses revenus 2001 et 2002. Or, comme l'a retenu implicitement la Commission de recours (cf. supra consid. 6.1), en vertu du principe de périodicité, il n'est pas possible de faire valoir une déduction dans la période fiscale 2005 portant sur des frais hypothécaires versés en 2001 et en 2002. Le recourant n'allègue au demeurant pas avoir subi de pertes durant ces périodes fiscales, lesquelles auraient pu être reportées en vertu de l' art. 31 al. 1 LIFD (anciennement art. 211 LIFD ; cf. aussi art. 27 al. 2 let. b LIFD ). La décision de la Commission de recours doit partant également être confirmée sur ce point.</w:t>
      </w:r>
    </w:p>
    <w:p>
      <w:r>
        <w:rPr>
          <w:b/>
        </w:rPr>
        <w:t>E. 7</w:t>
      </w:r>
    </w:p>
    <w:p>
      <w:r>
        <w:t>Il résulte de ce qui précède que le recours doit être rejeté, dans la mesure où il est recevable, en tant qu'il porte sur l'impôt fédéral direct pour les périodes fiscales 2003 à 2005. II.       Impôts cantonal et communal</w:t>
      </w:r>
    </w:p>
    <w:p>
      <w:r>
        <w:rPr>
          <w:b/>
        </w:rPr>
        <w:t>E. 8</w:t>
      </w:r>
    </w:p>
    <w:p>
      <w:r>
        <w:t>La notion de prestation appréciable en argent au sens de l' art. 20 al. 1 let . c LIFD est identique à celle prévue aux art. 7 al. 1 LHID et 16 al. 1 let. c LF. Partant, les considérations développées pour l'IFD trouvent à s'appliquer à l'ICC s'agissant des périodes fiscales sous examen. La même règle s'applique en ce qui concerne le principe de périodicité ainsi que les déductions admises, les art. 9 ss LHID et 23 ss LF contenant des règles analogues à celles prévues aux art. 27 ss LIFD . Il suffit donc de renvoyer, s'agissant des impôt cantonal et communal, aux considérants relatifs à l'impôt fédéral direct. Dans ces conditions, il y a lieu de rejeter également le recours, dans la mesure où il est recevable, en ce qu'il concerne les impôts cantonal et communal pour les périodes fiscales 2003 à 2005.</w:t>
      </w:r>
    </w:p>
    <w:p>
      <w:r>
        <w:rPr>
          <w:b/>
        </w:rPr>
        <w:t>E. 9</w:t>
      </w:r>
    </w:p>
    <w:p>
      <w:r>
        <w:t>Les considérants qui précèdent conduisent au rejet du recours dans la mesure où il est recevable, tant en matière d'impôt fédéral direct que d'impôts cantonal et communal.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