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858/2014 vom 17. Februar 2015</w:t>
      </w:r>
    </w:p>
    <w:p>
      <w:r>
        <w:t>Bundesgericht, 2015-02-17, FR</w:t>
      </w:r>
    </w:p>
    <w:p>
      <w:r>
        <w:rPr>
          <w:b/>
        </w:rPr>
        <w:t xml:space="preserve">Quelle: </w:t>
      </w:r>
      <w:r>
        <w:t>https://mcp.opencaselaw.ch/entscheid/bger_2C_858_2014</w:t>
      </w:r>
    </w:p>
    <w:p>
      <w:r>
        <w:t>FR: TF 2C 858/2014 du 17 février 2015</w:t>
      </w:r>
    </w:p>
    <w:p>
      <w:r>
        <w:t>IT: TF 2C 858/2014 del 17 febbraio 2015</w:t>
      </w:r>
    </w:p>
    <w:p>
      <w:pPr>
        <w:pStyle w:val="Heading2"/>
      </w:pPr>
      <w:r>
        <w:t>Regeste</w:t>
      </w:r>
    </w:p>
    <w:p>
      <w:r>
        <w:t>taxe communale ordures | Finances publiques &amp; droit fiscal</w:t>
      </w:r>
    </w:p>
    <w:p>
      <w:pPr>
        <w:pStyle w:val="Heading2"/>
      </w:pPr>
      <w:r>
        <w:t>Erwägungen</w:t>
      </w:r>
    </w:p>
    <w:p>
      <w:r>
        <w:rPr>
          <w:b/>
        </w:rPr>
        <w:t>E. 1.1</w:t>
      </w:r>
    </w:p>
    <w:p>
      <w:r>
        <w:t>Déposé en temps utile ( art. 100 al. 1 LTF ) et dans les formes prescrites par la loi ( art. 42 LTF ) contre un arrêt final ( art. 90 LTF ) rendu dans une cause de droit public par une autorité judiciaire supérieure de dernière instance cantonale ( art. 86 al. 1 let . d et al. 2 LTF), sans qu'aucune des exceptions prévues à l' art. 83 LTF ne soit réalisée, le présent recours en matière de droit public est en principe recevable.</w:t>
      </w:r>
    </w:p>
    <w:p>
      <w:r>
        <w:rPr>
          <w:b/>
        </w:rPr>
        <w:t>E. 1.2</w:t>
      </w:r>
    </w:p>
    <w:p>
      <w:r>
        <w:t>Selon l' art. 89 al. 2 let . c LTF, les communes et autres collectivités publiques ont qualité pour recourir lorsqu'elles invoquent la violation de garanties qui leur sont reconnues par les Constitutions cantonales ou fédérale. En pareille hypothèse, la qualité pour recourir est en principe admise et la question de savoir si une commune est réellement autonome dans le domaine considéré examinée au fond ( ATF 135 I 43 consid. 1.2 p. 45; 129 I 313 consid. 4.2 p. 319). La recourante invoque la violation de l'autonomie que lui confère la loi cantonale du 5 septembre 2006 sur la gestion des déchets (LGD/VD; RSVD 814.11) en la matière (cf. notamment art. 14 et 15 LGD/VD) ainsi que dans le choix du mode de financement de cette gestion (art. 30 LGD/VD). Son recours est par conséquent recevable sous cet angle (cf. en outre arrêt 2C_740/2009 du 4 juillet 2011 consid. 1.4 non publié aux ATF 137 I 257 ).</w:t>
      </w:r>
    </w:p>
    <w:p>
      <w:r>
        <w:rPr>
          <w:b/>
        </w:rPr>
        <w:t>E. 2</w:t>
      </w:r>
    </w:p>
    <w:p>
      <w:r>
        <w:t>La recourante se plaint de la violation du principe de la légalité. Elle est d'avis que le Tribunal cantonal ne pouvait pas se substituer au législateur communal pour prévoir des exemptions, qu'il n'avait pas expressément prévues dans son règlement.</w:t>
      </w:r>
    </w:p>
    <w:p>
      <w:r>
        <w:rPr>
          <w:b/>
        </w:rPr>
        <w:t>E. 2.1</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135 I 130 consid. 7.2 p. 140; arrêt 2C_160/2014 du 7 octobre 2014 consid. 5.2 in Archives 83 301). Le principe de la légalité exige non seulement que le cercle des contribuables mais également que les exceptions à l'assujettissement soient définis dans une loi au sens formel ( ATF 122 I 305 consid. 6b/dd p. 317 s.; 103 Ia 505 consid. 3a in fine p. 512 s.). La base légale doit présenter une densité normative permettant de respecter les garanties de clarté et de transparence exigées par le droit constitutionnel (cf. ATF 139 I 280 précité; 136 I 1 consid. 5.3.1 p. 13; 123 I 112 consid. 7a p. 124 s. et les références citées). En effet, selon la jurisprudence du Tribunal fédéral, l'exigence de précision de la norme découle du principe général de la légalité, mais aussi de la sécurité du droit et de l'égalité devant la loi (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w:t>
      </w:r>
    </w:p>
    <w:p>
      <w:r>
        <w:rPr>
          <w:b/>
        </w:rPr>
        <w:t>E. 2.2</w:t>
      </w:r>
    </w:p>
    <w:p>
      <w:r>
        <w:t>L'art. 11 al. 1 RGD prévoit que le détenteur assume le coût de l'élimination de ses déchets, conformément à l'art. 30 de la loi cantonale vaudoise du 9 septembre 2006 sur la gestion des déchets (LGD; RSVD 814.11), qui a une teneur identique. Selon l'art. 11 al. 2 RGD, la Commune perçoit des taxes pour couvrir les frais de gestion des déchets urbains. Le règlement définit en particulier le cercle des assujettis, le mode de calcul et le montant maximal de la contribution. En plus des taxes sur les sacs à ordures, l'art. 12 let. B al. 1 RGD prévoit la perception de taxes forfaitaires fixées à 200 fr. par an au maximum par habitant de plus de 20 ans et à 400 fr. par an au maximum par entreprise ou commerce. C'est à la Municipalité de préciser le montant de ces taxes (art. 11 al. 3 RGD).</w:t>
      </w:r>
    </w:p>
    <w:p>
      <w:r>
        <w:rPr>
          <w:b/>
        </w:rPr>
        <w:t>E. 2.3</w:t>
      </w:r>
    </w:p>
    <w:p>
      <w:r>
        <w:t>Du moment que l'art. 12 let. B al. 1 RGD prévoit la perception de taxes forfaitaires fixées à 400 fr. par an au maximum par entreprise ou commerce, il revêt une précision normative qui exige, en raison de l'application stricte du principe de la légalité en droit fiscal, que d'éventuelles exonérations ou exemptions soient prévues dans une autre disposition légale au sens formel dotée d'une précision au moins équivalente. C'est à bon droit que la recourante fait valoir qu'elle n'a pas édicté une telle norme. En effet, contrairement à ce qu'affirme l'instance précédente, l'art. 11 al. 1 RGD, qui prévoit que le détenteur assume le coût de l'élimination de ses déchets, ne revêt pas une précision normative qui autorise l'exonération de l'intimée. A l'instar de l'art. 32a de la loi fédérale du 7 octobre 1983 sur la protection de l'environnement (LPE; RS 814.01) et 30 LGD, l'art. 11 al. 1 RGD, qui répète le contenu de ces deux derniers articles, est une disposition cadre qui ne constitue pas une base légale suffisante pour percevoir des contributions en la matière ( ATF 137 I 257 consid. 6.1 p. 268). A contrario , elle ne constitue pas non plus une base légale suffisante pour exonérer ou exempter qui que ce soit des contributions en la matière.</w:t>
      </w:r>
    </w:p>
    <w:p>
      <w:r>
        <w:rPr>
          <w:b/>
        </w:rPr>
        <w:t>E. 2.4</w:t>
      </w:r>
    </w:p>
    <w:p>
      <w:r>
        <w:t>L'argument de l'instance précédente selon lequel l'intimée ne met pas à contribution le service public communal en raison de sa structure et de son organisation est erroné. Le règlement communal prévoit un système mixte de perception : une taxe de base et une taxe d'utilisation sous forme de taxe au sac. La première constitue la contribution incompressible qui rétribue les coûts d'infrastructures liés à la gestion des déchets qui doivent être maintenues indépendamment de leur utilisation effective, la proportion entre le montant de la taxe de base et celle dépendant des quantités devant correspondre approximativement au rapport existant entre le montant des coûts fixes et des coûts variables (arrêt 2P.266/2003 du 5 mars 2004 consid. 3.2, in DEP 2004 p. 197 et les nombreuses références citées); la deuxième, incitative, parce que proportionnelle à la production des déchets, est destinée à couvrir les autres dépenses liées à la gestion des déchets. La perception d'une taxe de base indépendante de la quantité de déchets produits est dès lors conforme au droit fédéral et cantonal ( ATF 137 I 257 consid. 6.1.1 p. 268 ss; 129 I 290 consid.3.2 p. 296). Il revient par conséquent à la recourante d'en régler les détails, ce qu'elle a fait dans son règlement communal qui, comme cela a été exposé ci-dessus, ne contient pas de dispositions exonérant ou exemptant l'intimée du paiement de la taxe forfaitaire.</w:t>
      </w:r>
    </w:p>
    <w:p>
      <w:r>
        <w:rPr>
          <w:b/>
        </w:rPr>
        <w:t>E. 2.5</w:t>
      </w:r>
    </w:p>
    <w:p>
      <w:r>
        <w:t>En jugeant que l'intimée devait être exonérée de la taxe forfaitaire prévue par le règlement communal de gestion des déchets, l'instance précédente a violé l'autonomie de la recourante. Le recours doit par conséquent être admis.</w:t>
      </w:r>
    </w:p>
    <w:p>
      <w:r>
        <w:rPr>
          <w:b/>
        </w:rPr>
        <w:t>E. 3</w:t>
      </w:r>
    </w:p>
    <w:p>
      <w:r>
        <w:t>Les considérants qui précédent conduisent à l'admission du recours et à l'annulation de l'arrêt rendu le 19 août 2014 par le tribunal cantonal du canton de Vaud. Succombant, l'intimée doit supporter les frais de la procédure devant le Tribunal fédéral. Il n'est pas alloué de dépens pour la procédure fédérale ( art. 68 al. 3 LTF ). La cause est renvoyée au Tribunal cantonal du canton de Vaud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