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2C_858/2012 vom 8. November 2012</w:t>
      </w:r>
    </w:p>
    <w:p>
      <w:r>
        <w:t>Bundesgericht, 2012-11-08, DE</w:t>
      </w:r>
    </w:p>
    <w:p>
      <w:r>
        <w:rPr>
          <w:b/>
        </w:rPr>
        <w:t xml:space="preserve">Quelle: </w:t>
      </w:r>
      <w:r>
        <w:t>https://mcp.opencaselaw.ch/entscheid/bger_2C_858_2012</w:t>
      </w:r>
    </w:p>
    <w:p>
      <w:r>
        <w:t>FR: TF 2C_858/2012 du 8 novembre 2012</w:t>
      </w:r>
    </w:p>
    <w:p>
      <w:r>
        <w:t>IT: TF 2C_858/2012 del 8 novembre 2012</w:t>
      </w:r>
    </w:p>
    <w:p>
      <w:pPr>
        <w:pStyle w:val="Heading2"/>
      </w:pPr>
      <w:r>
        <w:t>Erwägungen</w:t>
      </w:r>
    </w:p>
    <w:p>
      <w:r>
        <w:rPr>
          <w:b/>
        </w:rPr>
        <w:t>E. 3</w:t>
      </w:r>
    </w:p>
    <w:p>
      <w:r>
        <w:t>Nach dem Ausgeführten ist die Beschwerde in öffentlich-rechtlichen Angelegenheiten abzuweisen. Dem Ausgang des Verfahrens folgend, hat der Beschwerdeführer die bundesgerichtlichen Kosten zu tragen. Da die vorliegende Eingabe aufgrund der publizierten Rechtsprechung als von vornherein aussichtslos zu gelten hatte, ist das Gesuch um unentgeltliche Rechtspflege und 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