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857/2011 vom 24. Januar 2012</w:t>
      </w:r>
    </w:p>
    <w:p>
      <w:r>
        <w:t>Bundesgericht, 2012-01-24, FR</w:t>
      </w:r>
    </w:p>
    <w:p>
      <w:r>
        <w:rPr>
          <w:b/>
        </w:rPr>
        <w:t xml:space="preserve">Quelle: </w:t>
      </w:r>
      <w:r>
        <w:t>https://mcp.opencaselaw.ch/entscheid/bger_2C_857_2011</w:t>
      </w:r>
    </w:p>
    <w:p>
      <w:r>
        <w:t>FR: TF 2C 857/2011 du 24 janvier 2012</w:t>
      </w:r>
    </w:p>
    <w:p>
      <w:r>
        <w:t>IT: TF 2C 857/2011 del 24 gennaio 2012</w:t>
      </w:r>
    </w:p>
    <w:p>
      <w:pPr>
        <w:pStyle w:val="Heading2"/>
      </w:pPr>
      <w:r>
        <w:t>Regeste</w:t>
      </w:r>
    </w:p>
    <w:p>
      <w:r>
        <w:t>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cependant recevable contre les décisions révoquant une autorisation d'établissement ou constatant qu'une autorisation de ce type est caduque, parce qu'il existe en principe un droit au renouvellement de cette autorisation ( ATF 135 II 1 consid. 1.2.1 p. 4).</w:t>
      </w:r>
    </w:p>
    <w:p>
      <w:r>
        <w:rPr>
          <w:b/>
        </w:rPr>
        <w:t>E. 1.2</w:t>
      </w:r>
    </w:p>
    <w:p>
      <w:r>
        <w:t>Pour le surplus, l'arrêt attaqué est une décision finale ( art. 90 LTF ), rendue en dernière instance cantonale par un tribunal supérieur ( art. 86 al. 1 let . d et al. 2 LTF). Déposé en temps utile ( art. 100 al. 1 LTF ) et dans les formes prescrites ( art. 42 LTF ) par le destinataire de l'arrêt attaqué qui a qualité pour recourir au sens de l' art. 89 al. 1 LTF , le recours en matière de droit public est par conséquent recevable.</w:t>
      </w:r>
    </w:p>
    <w:p>
      <w:r>
        <w:rPr>
          <w:b/>
        </w:rPr>
        <w:t>E. 2.1</w:t>
      </w:r>
    </w:p>
    <w:p>
      <w:r>
        <w:t>Aux termes de l'art. 63 al. 2 de la loi fédérale sur les étrangers (LEtr; RS 142.20),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encore s'il a été condamné à une peine privative de liberté de longue durée, soit à une peine dépassant un an d'emprisonnement ( ATF 135 II 377 consid. 4.2 p. 380 ss), ou a fait l'objet d'une mesure pénale prévue aux art. 64 ou 61 CP (cf. art. 62 let. b LEtr, auquel renvoie l'art. 63 al. 1 let. a LEtr; cf. arrêt précité consid. 2.1 in fine). Il est en l'espèce constant qu'au vu de la condamnation du recourant à dix ans de réclusion pour recel, contravention et infraction grave à la LStup, soit à une peine privative de liberté de très longue durée (cf. ATF 137 II 297 consid. 3.3 p. 303), pour s'être livré à un trafic de drogue pendant une dizaine d'années, le recourant remplit sans aucun doute les conditions de l'art. 63 al. 2 LEtr pour que son autorisation d'établissement soit révoquée. Reste à déterminer si la révocation de cette autorisation se justifie sous l'angle de la proportionnalité (cf. arrêt 2C_265/2011 du 27 septembre 2011, consid. 6.1).</w:t>
      </w:r>
    </w:p>
    <w:p>
      <w:r>
        <w:rPr>
          <w:b/>
        </w:rPr>
        <w:t>E. 2.2</w:t>
      </w:r>
    </w:p>
    <w:p>
      <w:r>
        <w:t>Exprimé de manière générale à l' art. 5 al. 2 Cst. et découlant également de l'art. 96 LEtr, ce principe exige que la mesure prise par l'autorité soit raisonnable et nécessaire pour atteindre le but d'intérêt public ou privé poursuivi (cf. ATF 136 I 87 consid. 3.2 p. 91 s.; 135 II 377 consid. 4.2 p. 380). C'est au regard de toutes les circonstances de l'espèce qu'il convient de trancher la question de la proportionnalité de la mesure de révocation. Lors de cet examen, il y a lieu de prendre en considération la gravité de la faute commise, le degré d'intégration, la durée du séjour en Suisse, ainsi que le préjudice que l'intéressé et sa famille auraient à subir du fait de la mesure ( ATF 135 II 377 consid. 4.3 p. 381; 135 I 153 consid. 2.1 p. 154; arrêts 2C_432/2011 du 13 octobre 2011 consid. 3.1, 2C_265/2011 du 27 septembre 2011 consid. 6.1.1).</w:t>
      </w:r>
    </w:p>
    <w:p>
      <w:r>
        <w:rPr>
          <w:b/>
        </w:rPr>
        <w:t>E. 2.3</w:t>
      </w:r>
    </w:p>
    <w:p>
      <w:r>
        <w:t>Un étranger peut aussi se prévaloir de l' 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 ATF 135 I 143 consid. 1.3.1 p. 145; 130 II 281 consid. 3.1 p. 285 et les arrêts cités). Comme pour l'art. 63 LEtr, l'art. 8 § 2 CEDH suppose une pesée des intérêts en présence et l'examen de la proportionnalité ( ATF 135 II 377 consid. 4.3 p. 381).</w:t>
      </w:r>
    </w:p>
    <w:p>
      <w:r>
        <w:rPr>
          <w:b/>
        </w:rPr>
        <w:t>E. 2.4</w:t>
      </w:r>
    </w:p>
    <w:p>
      <w:r>
        <w:t>La peine infligée par le juge pénal est le premier critère servant à évaluer la gravité de la faute et à procéder à la pesée des intérêts (arrêts précités 2C_432/2011 du 13 octobre 2011 consid. 3.1 et 2C_265/2011 du 27 septembre 2011, consid. 6.1.1). A cet égard, les premiers juges ont relevé que le recourant avait agi sans scrupule et par appât du gain, le trafic de drogue qu'il avait organisé dès 1994 n'ayant cessé qu'en raison de son arrestation, en septembre 2004. Dans ces conditions, le fait que le recourant se soit bien comporté en prison ne suffit pas à exclure la dangerosité qu'il représente pour l'ordre public. D'une manière générale, il y a lieu en effet d'apprécier le risque de récidive de façon d'autant plus rigoureuse que le bien juridique menacé est important ( ATF 136 II 5 consid. 4.2 p. 20 et les références citées) et le Tribunal fédéral se montre particulièrement strict, lorsqu'il s'agit, comme en l'espèce, d'infractions à la législation fédérale sur les stupéfiants pouvant porter atteinte à l'intégrité corporelle ou psychique d'une personne ( ATF 137 II 297 consid. 3.3 p. 303). Il ressort aussi de l'arrêt entrepris que le recourant n'avait pas encore donné suite aux exigences de l'Office d'exécution des peines de se plier à des contrôles d'abstinence à l'alcool et aux stupéfiants et qu'il faisait l'objet d'une ultime sommation avant qu'une éventuelle procédure de révocation de la libération conditionnelle, effective depuis le 10 mai 2011, ne soit introduite. La durée de présence en Suisse d'un étranger constitue un autre critère important, mais cette durée doit être relativisée dans le cas du recourant, du moment qu'il a commencé son activité délictueuse en 1994 déjà et qu'il a séjourné en prison de septembre 2004, à mai 2011. Sans formation professionnelle, ni véritable intégration sociale, ses liens avec la Suisse restent très ténus. Le recourant fait certes valoir que son épouse, handicapée et au bénéfice d'une rente d'invalidité, a besoin de lui, mais celle-ci a dû s'organiser pour vivre seule dès 2004, lorsque son mari a été appréhendé. Le recourant ne démontre d'ailleurs nullement qu'elle serait dans un rapport de dépendance par rapport à lui, pas plus qu'il ne rend crédible le soutien réel qu'il serait en mesure de lui apporter. Le Tribunal cantonal a donc retenu à juste titre que la durée du séjour du recourant et la relation personnelle entre les époux n'étaient pas de nature à prévaloir sur l'intérêt public à son éloignement de Suisse. Quant aux difficultés de réintégration du recourant dans son pays d'origine, elles ne sont pas suffisantes pour quelqu'un qui a vécu au Maroc jusqu'à l'âge de vingt-deux ans et en a donc conservé la culture.</w:t>
      </w:r>
    </w:p>
    <w:p>
      <w:r>
        <w:rPr>
          <w:b/>
        </w:rPr>
        <w:t>E. 2.5</w:t>
      </w:r>
    </w:p>
    <w:p>
      <w:r>
        <w:t>Dans ces circonstances, l'intérêt public à éloigner le recourant l'emporte sur l'intérêt privé de celui-ci et de son épouse à pouvoir vivre ensemble. Le Tribunal cantonal n'a donc pas violé l' art. 8 CEDH , ni le principe de proportionnalité ( art. 5 al. 2 Cst. ), en procédant à la pesée des intérêts en présence.</w:t>
      </w:r>
    </w:p>
    <w:p>
      <w:r>
        <w:rPr>
          <w:b/>
        </w:rPr>
        <w:t>E. 3</w:t>
      </w:r>
    </w:p>
    <w:p>
      <w:r>
        <w:t>Au vu de ce qui précède, le recours doit être rejeté. Succombant, le recourant doit supporter les frais judiciaires, qui seront fixés en tenant compte de sa situation financière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