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845/2009 vom 17. August 2010</w:t>
      </w:r>
    </w:p>
    <w:p>
      <w:r>
        <w:t>Bundesgericht, 2010-08-17, DE</w:t>
      </w:r>
    </w:p>
    <w:p>
      <w:r>
        <w:rPr>
          <w:b/>
        </w:rPr>
        <w:t xml:space="preserve">Quelle: </w:t>
      </w:r>
      <w:r>
        <w:t>https://mcp.opencaselaw.ch/entscheid/bger_2C_845_2009</w:t>
      </w:r>
    </w:p>
    <w:p>
      <w:r>
        <w:t>FR: TF 2C 845/2009 du 17 août 2010</w:t>
      </w:r>
    </w:p>
    <w:p>
      <w:r>
        <w:t>IT: TF 2C 845/2009 del 17 agosto 2010</w:t>
      </w:r>
    </w:p>
    <w:p>
      <w:pPr>
        <w:pStyle w:val="Heading2"/>
      </w:pPr>
      <w:r>
        <w:t>Regeste</w:t>
      </w:r>
    </w:p>
    <w:p>
      <w:r>
        <w:t>Aufenthaltsbewilligung B EG/EFTA | Bürgerrecht und Ausländerrecht</w:t>
      </w:r>
    </w:p>
    <w:p>
      <w:pPr>
        <w:pStyle w:val="Heading2"/>
      </w:pPr>
      <w:r>
        <w:t>Erwägungen</w:t>
      </w:r>
    </w:p>
    <w:p>
      <w:r>
        <w:rPr>
          <w:b/>
        </w:rPr>
        <w:t>E. 1</w:t>
      </w:r>
    </w:p>
    <w:p>
      <w:r>
        <w:t>Gemäss Art. 83 lit. c Ziff. 2 BGG ist die Beschwerde in öffentlich-rechtlichen Angelegenheiten unzulässig gegen Entscheide betreffend Bewilligungen, auf die weder das Bundesrecht noch das Völkerrecht einen Anspruch einräumt. Als deutscher Staatsangehöriger kann sich der Beschwerdeführer auf das Abkommen vom 21. Juni 1999 zwischen der Schweizerischen Eidgenossenschaft einerseits und der Europäischen Gemeinschaft und ihren Mitgliedstaaten andererseits über die Freizügigkeit (FZA; SR 0.142.112.681) berufen, welches ihm einen grundsätzlichen Anspruch auf Erteilung einer Aufenthaltsbewilligung einräumt (vgl. Art. 4 FZA ; Art. 6 Abs. 1 Anhang I FZA ). Die Beschwerde ist daher zulässig. Als Adressat des angefochtenen Entscheids ist der Beschwerdeführer gemäss Art. 89 Abs. 1 BGG zur Beschwerdeführung legitimiert. Auf das im Übrigen form- und fristgerecht eingereichte Rechtsmittel ( Art. 42 und Art. 100 Abs. 1 BGG ) ist daher einzutreten.</w:t>
      </w:r>
    </w:p>
    <w:p>
      <w:r>
        <w:rPr>
          <w:b/>
        </w:rPr>
        <w:t>E. 2</w:t>
      </w:r>
    </w:p>
    <w:p>
      <w:r>
        <w:t>Die Beurteilung der vorliegenden Angelegenheit richtet sich grundsätzlich nach dem Bundesgesetz vom 16. Dezember 2005 über die Ausländerinnen und Ausländer (AuG; SR 142.20). Im Anwendungsbereich des FZA hat das AuG allerdings nur insoweit Geltung, als das FZA keine abweichende Bestimmung enthält oder das AuG günstigere Bestimmungen vorsieht (Art. 2 Abs. 2 AuG), was hier nicht der Fall ist.</w:t>
      </w:r>
    </w:p>
    <w:p>
      <w:r>
        <w:rPr>
          <w:b/>
        </w:rPr>
        <w:t>E. 3</w:t>
      </w:r>
    </w:p>
    <w:p>
      <w:r>
        <w:t>Gemäss Art. 4 FZA i.V.m. Art. 6 Abs. 1 Anhang I FZA hat ein Arbeitnehmer, der Staatsangehöriger einer Vertragspartei ist und mit einem Arbeitgeber des Aufnahmestaates ein Arbeitsverhältnis mit einer Dauer von mindestens einem Jahr eingegangen ist, Anspruch auf Erteilung einer Aufenthaltserlaubnis mit einer Gültigkeitsdauer von mindestens fünf Jahren, gerechnet ab dem Zeitpunkt der Erteilung der Erlaubnis. Wie das Verwaltungsgericht zutreffend ausgeführt hat, gilt dieser Anspruch jedoch nicht absolut. Er kann eingeschränkt werden, wenn von der ausländischen Person eine hinreichend schwere und gegenwärtige Gefährdung der öffentlichen Ordnung, Sicherheit oder Gesundheit ausgeht (vgl. Art. 5 Anhang I FZA ). Auf die umfangreichen Erwägungen der Vorinstanz sowie auf die in diesem Zusammenhang ergangene bundesgerichtliche Rechtsprechung kann verwiesen werden (E. 2.2 des angefochtenen Entscheids; BGE 136 II 5 E. 4.1 und E. 4.2 S. 19 f.; 130 II 493 E. 3 S. 497 ff.; 130 II 176 E. 3.1 S. 179 f.; 129 II 215 E. 6 und E. 7 S. 220 ff., jeweils mit Hinweisen).</w:t>
      </w:r>
    </w:p>
    <w:p>
      <w:r>
        <w:rPr>
          <w:b/>
        </w:rPr>
        <w:t>E. 4</w:t>
      </w:r>
    </w:p>
    <w:p>
      <w:r>
        <w:t>Der Beschwerdeführer bestreitet, dass von ihm bzw. von seinem Aufenthalt in der Schweiz eine schwere gegenwärtige Gefährdung der öffentlichen Sicherheit und Ordnung ausgehe. Er verweist auf seine vorzeitige, bedingte Haftentlassung nach Verbüssung der Hälfte der Strafe und betont, dass hierfür gemäss den einschlägigen Bestimmungen des deutschen Strafgesetzbuches besonders günstige Umstände und mithin eine sehr vorteilhafte Rückfallprognose erforderlich seien. Insbesondere verfüge er über intakte soziale Bindungen: Zwar habe er sich von seiner früheren Lebenspartnerin getrennt, doch pflege er zu ihr sowie zur gemeinsamen Tochter weiterhin einen guten Kontakt. Sodann sei er zwischenzeitlich eine neue Beziehung zu einer in der Schweiz aufenthaltsberechtigten deutschen Staatsangehörigen eingegangen, mit welcher er auch einen gemeinsamen Sohn (geb.________2009 in S.________) habe. In beruflicher Hinsicht habe er sich nach seiner Haftentlassung mit einer Einzelfirma im Bereich Immobilienverwaltung selbständig gemacht und er erziele aufgrund dieser Tätigkeit ein stabiles Erwerbseinkommen. Vor seiner Auslieferung an die BRD habe er sich bereits während sieben Jahren in der Schweiz aufgehalten und sich hier als selbständig Erwerbender und Inhaber diverser Firmen sowohl gesellschaftlich als auch wirtschaftlich integriert.</w:t>
      </w:r>
    </w:p>
    <w:p>
      <w:r>
        <w:rPr>
          <w:b/>
        </w:rPr>
        <w:t>E. 5</w:t>
      </w:r>
    </w:p>
    <w:p>
      <w:r>
        <w:t>Die Ausführungen des Beschwerdeführers überzeugen nicht: Seine Verurteilung durch das Landgericht S.________ lässt den Beschwerdeführer in einem ausgesprochen schlechten Licht erscheinen: Dem Strafurteil ist zu entnehmen, dass er planmässig und über mehrere Jahre hinweg delinquierte und der geschädigten Unternehmung dadurch einen äusserst beträchtlichen Vermögensschaden zufügte. Dieses Verhalten und die gegen den Beschwerdeführer verhängte Freiheitsstrafe von vier Jahren deuten auf ein sehr schweres Verschulden und eine ganz erhebliche kriminelle Energie hin. Dass er die in Deutschland verhängte Strafe nicht vollständig verbüssen musste, ändert daran nichts: Dem Beschluss der Strafvollstreckungskammer des Landgerichts U.________ vom 4. September 2007, mit welchem die Verbüssung des Strafrests zur Bewährung ausgesetzt wurde, kann entnommen werden, dass hierfür namentlich auch Umstände als massgeblich erachtet wurden, welche bei der Festsetzung des Strafmasses bereits berücksichtigt worden waren (Kooperationsbereitschaft, Geständigkeit). Entgegen der Auffassung der Vorinstanz darf auch der gegenüber dem Beschwerdeführer erhobene Vorwurf der ungetreuen Geschäftsbesorgung im Zusammenhang mit der Tätigkeit der D.________AG mitberücksichtigt werden, selbst wenn dieser von der Staatsanwaltschaft S.________ nicht materiell gewürdigt wurde: Vorliegend geht es nicht darum, dem Beschwerdeführer eine strafrechtliche Verfehlung zu unterstellen. Dem Vorwurf kommt aber insoweit eine gewisse Bedeutung zu, als er aufzeigt, dass sich die Strafverfolgungsorgane schon wieder mit dem Beschwerdeführer und seinen Aktivitäten befassen mussten und dieser ein Verhalten an den Tag legt, das von Drittpersonen - zu Recht oder zu Unrecht - als kriminell erachtet wird. Diesem Umstand darf bei der Prüfung der Legalprognose mit einer gewissen Zurückhaltung Rechnung getragen werden, ohne hierdurch die Unschuldsvermutung zu verletzen (Urteil 2C_596/2009 vom 23. April 2010 E. 6; 2C_561/2008 vom 5. November 2008 E. 5.3; jeweils mit Hinweisen). Auch die nun geplante Betätigung des Beschwerdeführers in der Schweiz lässt ernsthafte Zweifel an seiner zukünftigen Deliktsfreiheit aufkommen: Gemäss Arbeitsvertrag vom 17. Juli 2008 gehört zu den ihm zugedachten Tätigkeitsgebieten insbesondere die Kunden- und Objektakquisition und -betreuung. Gegenüber dem Migrationsamt liess der Beschwerdeführer sodann ausführen, dass er ein erfahrener Marketing- und Vertriebsexperte sowie ein gleichermassen ausgewiesener Immobilienfachmann sei, welcher zudem über ein ausgedehntes und ausgezeichnetes Beziehungsnetz zu namhaften Persönlichkeiten aus Wirtschaft und Sport, insbesondere im deutschsprachigen Europa, Grossbritannien und den USA verfüge. In diesem Zusammenhang hat das Verwaltungsgericht allerdings zutreffend erkannt, dass gerade solche spezifischen persönlichen Kontakte den Beschwerdeführer in der Vergangenheit zu Straftaten verleitet haben, wie die Verurteilung durch die deutsche Strafjustiz zeigt. Zu Recht schloss die Vorinstanz daraus auf eine Gefahr, dass der Beschwerdeführer auch bei der geplanten Tätigkeit als Vermittler von Immobilien wieder zu kriminellen Machenschaften veranlasst wird: Unabhängig davon, ob es nun Werbeflächen auf Rennfahrzeugen oder Liegenschaften sind, die akquiriert bzw. verkauft werden sollen, bergen solche Vermittlungstätigkeiten regelmässig die Gefahr in sich, dass die damit verbundene Vertrauensstellung vom Vermittler zu dessen eigenen Gunsten ausgenützt wird. Als besonders akut erscheint diese Gefahr jedoch dann, wenn ein Vermittler - wie vorliegend der Beschwerdeführer - durch sein bisheriges Geschäftsgebaren bereits seine mangelnde Vertrauenswürdigkeit unter Beweis gestellt hat. Bei dieser Sachlage durfte die Vorinstanz von einer hinreichend schweren und gegenwärtigen Gefährdung der öffentlichen Ordnung ausgehen. Dass die Verweigerung der Aufenthaltsbewilligung für den Beschwerdeführer eine besondere Härte bedeuten würde und deshalb unverhältnismässig sein könnte, ist nicht ersichtlich: Er ist deutscher Staatsangehöriger und hat sich während des grössten Teils seines Lebens in der BRD aufgehalten. Gemäss seinen Angaben (vgl. E. 4 hiervor) wohnt er gegenwärtig in T.________ bei S.________ und betreibt dort eine Einzelfirma im Bereich Immobilienberatung, mit welcher er ein stabiles Erwerbseinkommen erzielen kann. Er scheint demzufolge in seiner Heimat beruflich gut integriert zu sein. Soweit der Beschwerdeführer dagegen behauptet, er habe sich in der Vergangenheit auch in der Schweiz wirtschaftlich integriert, ist festzustellen, dass - soweit ersichtlich - über sämtliche der von ihm einst gehaltenen schweizerischen Gesellschaften der Konkurs eröffnet werden musste bzw. diese mangels verwertbarer Aktiven von Amtes wegen zu löschen waren. Der Hinweis auf die vom Beschwerdeführer behaupteten familiären Bindungen ist ebenfalls unbehelflich: Zum einen ist er mit seiner Partnerin nicht verheiratet, zum anderen ist diese ebenfalls deutsche Staatsangehörige und erst per 1. Juli 2008 in die Schweiz übergesiedelt, so dass ihr grundsätzlich zuzumuten wäre, die Beziehung zum Beschwerdeführer im gemeinsamen Heimatland zu leben. Dass der Beschwerdeführer sich von seinem Domizil in S.________ aus an der Betreuung des gemeinsamen Sohnes beteiligt, ist weder dargelegt worden noch ersichtlich. Ebensowenig wurde dargetan, inwiefern die Aufrechterhaltung des persönlichen Kontaktes zum Kind die Erteilung einer dauerhaften Aufenthaltsbewilligung zur Ausübung einer Erwerbstätigkeit bedingt. Nach dem Ausgeführten ergibt sich, dass die Vorinstanzen dem Beschwerdeführer zu Recht die Erteilung einer Aufenthaltsbewilligung EG/EFTA verweigert haben.</w:t>
      </w:r>
    </w:p>
    <w:p>
      <w:r>
        <w:rPr>
          <w:b/>
        </w:rPr>
        <w:t>E. 6</w:t>
      </w:r>
    </w:p>
    <w:p>
      <w:r>
        <w:t>Gemäss den obenstehenden Erwägungen ist die Beschwerde in öffentlich-rechtlichen Angelegenheiten offensichtlich unbegründet und daher im vereinfachten Verfahren nach Art. 109 BGG (summarische Begründung / Verweis auf den angefochtenen Entscheid) abzuweisen. Diesem Verfahrensausgang entsprechend, sind die Gerichtskosten dem Beschwerdeführer aufzuerlegen (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