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2C_843/2010 vom 1. März 2011</w:t>
      </w:r>
    </w:p>
    <w:p>
      <w:r>
        <w:t>Bundesgericht, 2011-03-01, FR</w:t>
      </w:r>
    </w:p>
    <w:p>
      <w:r>
        <w:rPr>
          <w:b/>
        </w:rPr>
        <w:t xml:space="preserve">Quelle: </w:t>
      </w:r>
      <w:r>
        <w:t>https://mcp.opencaselaw.ch/entscheid/bger_2C_843_2010</w:t>
      </w:r>
    </w:p>
    <w:p>
      <w:r>
        <w:t>FR: TF 2C_843/2010 du 1 mars 2011</w:t>
      </w:r>
    </w:p>
    <w:p>
      <w:r>
        <w:t>IT: TF 2C_843/2010 del 1 marzo 2011</w:t>
      </w:r>
    </w:p>
    <w:p>
      <w:pPr>
        <w:pStyle w:val="Heading2"/>
      </w:pPr>
      <w:r>
        <w:t>Erwägungen</w:t>
      </w:r>
    </w:p>
    <w:p>
      <w:r>
        <w:rPr>
          <w:b/>
        </w:rPr>
        <w:t>E. 1</w:t>
      </w:r>
    </w:p>
    <w:p>
      <w:r>
        <w:t>Le Tribunal fédéral examine d'office sa compétence ( art. 29 al. 1 LTF ). Il contrôle librement la recevabilité des recours qui lui sont soumis ( ATF 135 III 1 consid. 1.1 p. 3).</w:t>
      </w:r>
    </w:p>
    <w:p>
      <w:r>
        <w:rPr>
          <w:b/>
        </w:rPr>
        <w:t>E. 1.1</w:t>
      </w:r>
    </w:p>
    <w:p>
      <w:r>
        <w:t>L'autorité recourante estime que le jugement entrepris constitue une décision partielle au sens de l' art. 91 LTF , du moment que le Tribunal cantonal "statue sur plusieurs des conclusions présentées par les requérantes". Cette qualification est de toute évidence inexacte, dès lors que l'autorité précédente a tranché tous les points faisant l'objet du litige, rejetant certaines conclusions et en acceptant d'autres.</w:t>
      </w:r>
    </w:p>
    <w:p>
      <w:r>
        <w:rPr>
          <w:b/>
        </w:rPr>
        <w:t>E. 1.2</w:t>
      </w:r>
    </w:p>
    <w:p>
      <w:r>
        <w:t>Le jugement entrepris ne peut donc constituer qu'une décision finale ( art. 90 LTF ) ou une décision incidente au sens de l' art. 93 LTF . La question de sa nature doit s'analyser dans le contexte particulier d'une décision de renvoi à l'autorité de première instance, qui peut, selon les circonstances, relever de l'une ou de l'autre de ces catégories.</w:t>
      </w:r>
    </w:p>
    <w:p>
      <w:r>
        <w:rPr>
          <w:b/>
        </w:rPr>
        <w:t>E. 1.2.1</w:t>
      </w:r>
    </w:p>
    <w:p>
      <w:r>
        <w:t>Si l'autorité inférieure appelée à statuer à nouveau ne dispose d'aucune marge de manoeuvre, une décision de renvoi peut constituer une décision finale et ainsi faire l'objet d'un recours au Tribunal fédéral (Heinz Aemisegger, Le recours en matière de droit public au Tribunal fédéral: particularités dans le domaine du droit de l'aménagement du territoire, des constructions et de l'environnement, in Territoire et environnement, 2008, p. 7). Il en va ainsi, par exemple, du renvoi de la cause à l'administration fiscale cantonale pour nouveau calcul de l'impôt sur le gain immobilier ( ATF 134 II 124 consid. 1.3 p. 127) et du renvoi à l'autorité communale pour octroi de l'autorisation de bâtir (arrêt 1C_13/2009 du 23 novembre 2009 consid. 1.1). Dans les autres cas, une décision de renvoi conserve son caractère incident et n'est donc susceptible de recours - notamment par l'autorité - qu'aux strictes conditions de l' art. 93 LTF .</w:t>
      </w:r>
    </w:p>
    <w:p>
      <w:r>
        <w:t>En l'espèce, le Tribunal cantonal a partiellement admis le recours et renvoyé la cause à la Commission foncière en l'invitant à statuer sur la demande tendant à constater que A.X.________ n'est plus une personne à l'étranger au sens de la LFAIE et que l'acquisition par celle-ci de la parcelle no ****-1 du cadastre de B.________ n'est pas soumise à autorisation. Il n'a par contre nullement donné d'indication contraignante sur le sort qui devrait être réservé à cette requête et il incombera au contraire à l'autorité de première instance d'analyser les circonstances pour décider de la soumission de la requérante au régime de la LFAIE. Il ne saurait donc s'agir d'une décision finale au sens de l' art. 90 LTF .</w:t>
      </w:r>
    </w:p>
    <w:p>
      <w:r>
        <w:rPr>
          <w:b/>
        </w:rPr>
        <w:t>E. 1.2.2</w:t>
      </w:r>
    </w:p>
    <w:p>
      <w:r>
        <w:t>Seul peut ainsi être envisagé le cas du recours direct au Tribunal fédéral contre une décision incidente. L' art. 93 al. 1 LTF fait dépendre la recevabilité d'un tel recours de l'existence d'un préjudice irréparable (let. a) ou de motifs d'économie de procédure (let. b). La réalisation de ces conditions alternatives doit être admise de manière restrictive, du moment que la norme en question constitue une exception au système mis en place par le législateur dans l'optique, notamment, de décharger le Tribunal fédéral en lui imposant de ne se prononcer qu'une seule fois sur une cause, en rendant le jugement final. En principe, le fait que les parties ne puissent pas recourir directement contre la décision incidente ne leur cause pas de préjudice, puisqu'elles peuvent la contester dans le recours contre la décision finale en vertu de l' art. 93 al. 3 LTF (cf. arrêt 2C_687/2009 du 17 février 2010 consid. 1.3.2 et la référence).</w:t>
      </w:r>
    </w:p>
    <w:p>
      <w:r>
        <w:t>Des cas de renvoi causant un préjudice irréparable se présentent par exemple lorsque l'administration est tenue par une décision de renvoi de rendre un prononcé - selon elle - contraire au droit, car celle-ci ne pourra plus par la suite contester sa propre décision ( ATF 133 V 477 consid. 5 p. 482 ss; 133 II 409 consid. 1.2 p. 412; arrêt 2C_687/2009, précité, consid. 1.3.3). Il n'en va pas ainsi en l'occurrence, puisque le présent recours n'a pas été interjeté par l'autorité à qui la cause a été renvoyée, à savoir la Commission foncière, mais par le Département de l'économie, agissant par son Secrétariat général, qui est l'autorité compétente pour recourir en vertu des dispositions cantonales d'exécution de la LFAIE (cf. art. 3 du règlement du 17 février 1987 d'exécution de la loi d'application de la loi fédérale sur l'acquisition d'immeubles par des personnes à l'étranger [RLVLFAIE; RS/VD 211.51.1]).</w:t>
      </w:r>
    </w:p>
    <w:p>
      <w:r>
        <w:t>Une autre hypothèse est celle où la cause n'est pas renvoyée directement à l'autorité en droit de recourir, mais que, selon la procédure applicable, cette dernière serait dans l'impossibilité de recourir devant les instances inférieures à l'encontre de la décision sur renvoi (arrêt 2C_687/2009, précité, consid. 1.3.3 et les références). Tel n'est également nullement le cas en l'espèce.</w:t>
      </w:r>
    </w:p>
    <w:p>
      <w:r>
        <w:t>En conclusion, le Secrétariat général du Département de l'économie pourra ultérieurement recourir, dans la mesure où il le jugera nécessaire, contre une nouvelle décision du Tribunal cantonal qui admettrait selon lui à tort que A.X.________ n'est plus une personne à l'étranger au sens de la LFAIE et que l'acquisition par celle-ci de la parcelle no ****-1 du cadastre de B.________ n'est pas soumise à autorisation. En l'état, le jugement du 21 septembre 2010 ne lui cause ainsi aucun préjudice irréparable, de sorte que le recours se révèle irrecevable de ce point de vue. Cela vaut d'autant plus que le Tribunal cantonal n'a nullement préjugé du sort à réserver à la question de savoir si A.X.________ bénéficiait ou non d'un domicile en Suisse.</w:t>
      </w:r>
    </w:p>
    <w:p>
      <w:r>
        <w:rPr>
          <w:b/>
        </w:rPr>
        <w:t>E. 2</w:t>
      </w:r>
    </w:p>
    <w:p>
      <w:r>
        <w:t>De toute manière, à supposer que le Tribunal fédéral ait pu entrer en matière sur le recours, il aurait dû le rejeter. En effet, le mécanisme punitif prévu par la Commission foncière, consistant à contraindre un acquéreur non soumis à la LFAIE, au regard de son comportement abusif passé, à procéder à des aménagements qu'il pourra détruire dès leur réalisation, ne trouve aucun ancrage dans la loi. Il faut plutôt relever que, depuis le 30 juin 2000, la Commission foncière a eu tout le temps nécessaire pour s'assurer du respect des charges qu'elle avait ordonnées et qu'elle disposait pour ce faire de moyens que la loi met expressément à sa disposition. Ainsi, selon l' art. 25 al. 1 LFAIE , "l'autorisation est révoquée d'office, lorsque l'acquéreur l'a obtenue frauduleusement en fournissant des indications inexactes ou lorsque, malgré une mise en demeure, il ne respecte pas une charge". L' art. 30 LFAIE prévoit par ailleurs que quiconque, intentionnellement, ne respecte pas une charge, est puni d'une peine privative de liberté de trois ans au plus ou d'une peine pécuniaire. Si l'auteur a agi par négligence, la peine sera l'amende jusqu'à 50'000 fr. La peine sera l'amende jusqu'à 20'000 fr. si, après coup, la charge est révoquée ou si l'auteur la respecte. En outre, selon l' art. 31 al. 1 LFAIE , quiconque ne donne pas suite à l'injonction de fournir des renseignements ou de produire des documents à lui notifiée par l'autorité compétente sous la menace des peines prévues par cette disposition, est puni de l'amende jusqu'à 50'000 fr. A cela s'ajoute que les délais de prescription de l' art. 32 LFAIE sont suffisamment longs pour permettre une mise en oeuvre efficace du droit. Dès lors, en dehors de toute nullité, laquelle n'est à juste titre invoquée par aucun des participants à la procédure, il n'y avait pas matière à refuser d'instruire la question de la soumission de la requérante au régime de la LFAIE puis d'en tirer les conséquences exposées par le Tribunal cantonal.</w:t>
      </w:r>
    </w:p>
    <w:p>
      <w:r>
        <w:rPr>
          <w:b/>
        </w:rPr>
        <w:t>E. 3</w:t>
      </w:r>
    </w:p>
    <w:p>
      <w:r>
        <w:t>Au vu de ce qui précède, le recours est déclaré irrecevable. Le canton de Vaud ayant agi dans l'exercice de ses attributions officielles sans que son intérêt patrimonial ne soit en cause, il ne sera pas astreint à payer des frais de justice (cf. art. 66 al. 4 LTF ), mais bien à verser une indemnité de dépens aux intimées, créancières solidaires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