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2C_842/2020 vom 14. Oktober 2020</w:t>
      </w:r>
    </w:p>
    <w:p>
      <w:r>
        <w:t>Bundesgericht, 2020-10-14, DE</w:t>
      </w:r>
    </w:p>
    <w:p>
      <w:r>
        <w:rPr>
          <w:b/>
        </w:rPr>
        <w:t xml:space="preserve">Quelle: </w:t>
      </w:r>
      <w:r>
        <w:t>https://mcp.opencaselaw.ch/entscheid/bger_2C_842_2020</w:t>
      </w:r>
    </w:p>
    <w:p>
      <w:r>
        <w:t>FR: TF 2C_842/2020 du 14 octobre 2020</w:t>
      </w:r>
    </w:p>
    <w:p>
      <w:r>
        <w:t>IT: TF 2C_842/2020 del 14 ottobre 2020</w:t>
      </w:r>
    </w:p>
    <w:p>
      <w:pPr>
        <w:pStyle w:val="Heading2"/>
      </w:pPr>
      <w:r>
        <w:t>Erwägungen</w:t>
      </w:r>
    </w:p>
    <w:p>
      <w:r>
        <w:rPr>
          <w:b/>
        </w:rPr>
        <w:t>E. 1</w:t>
      </w:r>
    </w:p>
    <w:p>
      <w:r>
        <w:t>Die Beschwerdefrist gemäss Art. 100 Abs. 2 lit. b BGG sei wiederherzustellen.</w:t>
      </w:r>
    </w:p>
    <w:p>
      <w:r>
        <w:rPr>
          <w:b/>
        </w:rPr>
        <w:t>E. 1.1</w:t>
      </w:r>
    </w:p>
    <w:p>
      <w:r>
        <w:t>Mit Eingabe vom 8. Oktober 2020 erheben die amtshilfebetroffenen Personen beim Bundesgericht Beschwerde in öffentlich-rechtlichen Angelegenheiten. Sie beantragen:</w:t>
      </w:r>
    </w:p>
    <w:p>
      <w:r>
        <w:rPr>
          <w:b/>
        </w:rPr>
        <w:t>E. 1.2</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amtshilfebetroffenen Personen selbst einräumen, ist die gesetzliche Beschwerdefrist von zehn Tagen versäumt worden. Entsprechend stellen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amtshilfebetroffenen Personen berufen sich zur Begründung ihres Gesuches um Fristwiederherstellung auf ein Verfahren, das sie vor dem spanischen Tribunal Supremo anhängig gemacht hätten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Personen ist nicht zu folgen: Krankheit, Militärdienst oder einen anderen entschuldbaren Verhinderungsgrund bringen die amtshilfebetroffenen Personen nicht vor. Inwiefern sie im Verlauf der Beschwerdefrist, die vom 9. bis und mit dem 18. September 2020 lief, durch den Entscheid des Tribunal Supremo vom 2. Juli 2020 in einer rechtserheblichen Weise vom rechtzeitigen Handeln abgehalten worden sein könnten,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den unterliegenden amtshilfebetroffenen Personen aufzuerlegen ( Art. 65 und Art. 66 Abs. 1 Satz 1 BGG ), wobei diese die Kosten zu gleichen Teilen und unter solidarischer Haftung tragen ( Art. 66 Abs. 5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