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840/2017 vom 23. März 2018</w:t>
      </w:r>
    </w:p>
    <w:p>
      <w:r>
        <w:t>Bundesgericht, 2018-03-23, DE</w:t>
      </w:r>
    </w:p>
    <w:p>
      <w:r>
        <w:rPr>
          <w:b/>
        </w:rPr>
        <w:t xml:space="preserve">Quelle: </w:t>
      </w:r>
      <w:r>
        <w:t>https://mcp.opencaselaw.ch/entscheid/bger_2C_840_2017</w:t>
      </w:r>
    </w:p>
    <w:p>
      <w:r>
        <w:t>FR: TF 2C 840/2017 du 23 mars 2018</w:t>
      </w:r>
    </w:p>
    <w:p>
      <w:r>
        <w:t>IT: TF 2C 840/2017 del 23 marzo 2018</w:t>
      </w:r>
    </w:p>
    <w:p>
      <w:pPr>
        <w:pStyle w:val="Heading2"/>
      </w:pPr>
      <w:r>
        <w:t>Regeste</w:t>
      </w:r>
    </w:p>
    <w:p>
      <w:r>
        <w:t>Rechtsverweigerung; unentgeltliche Rechtspflege | Bürgerrecht und Ausländerrecht</w:t>
      </w:r>
    </w:p>
    <w:p>
      <w:pPr>
        <w:pStyle w:val="Heading2"/>
      </w:pPr>
      <w:r>
        <w:t>Erwägungen</w:t>
      </w:r>
    </w:p>
    <w:p>
      <w:r>
        <w:rPr>
          <w:b/>
        </w:rPr>
        <w:t>E. 1</w:t>
      </w:r>
    </w:p>
    <w:p>
      <w:r>
        <w:t>Die Beschwerde in öffentlich-rechtlichen Angelegenheiten ist auf dem Gebiet des Ausländerrechts unter anderem unzulässig gegen Entscheide über die vorläufige Aufnahme und Entscheide über die Wegweisung ( Art. 83 lit. c Ziff. 3 und 4 BGG ). Nach dem Grundsatz der Einheit des Verfahrens gilt dies auch für Zwischenentscheide ( BGE 138 II 501 E. 1.1, mit Hinweisen). Ist die Beschwerde in öffentlich-rechtlichen Angelegenheiten unzulässig, fällt als Rechtsmittel gegen Entscheide letzter kantonaler Instanzen die subsidiäre Verfassungsbeschwerde ( Art. 113 ff. BGG ) in Betracht, mit welcher die Verletzung verfassungsmässiger Rechte gerügt werden kann.</w:t>
      </w:r>
    </w:p>
    <w:p>
      <w:r>
        <w:rPr>
          <w:b/>
        </w:rPr>
        <w:t>E. 2</w:t>
      </w:r>
    </w:p>
    <w:p>
      <w:r>
        <w:t>Bei der vom Verwaltungsgericht bestätigten Verweigerung der unentgeltlichen Rechtspflege im Verfahren vor der Polizei- und Militärdirektion handelt es sich um einen Zwischenentscheid, welcher für den Beschwerdeführer mit einem nicht wiedergutzumachenden Nachteil (Art. 117 in Verbindung mit Art. 93 Abs. 1 lit. a BGG ) verbunden war, weil die Beurteilung des Rechtsmittels von der Leistung eines Kostenvorschusses abhängig gemacht wurde und dem Beschwerdeführer für das Verfahren kein unentgeltlicher Vertreter beigestanden wäre ( BGE 129 I 229 E. 1.1, 281 E. 1.1 ; 126 I 207 E. 2a ; 123 I 275 E. 2f). Das erhobene Rechtsmittel wäre insoweit als subsidiäre Verfassungsbeschwerde entgegenzunehmen und darauf einzutreten. Allerdings hat der Beschwerdeführer - um nichts zu versäumen - den von der Polizei- und Militärdirektion verlangten Kostenvorschuss geleistet und hat diese nach Bestätigung der Verweigerung der unentgeltlichen Rechtspflege durch das Verwaltungsgericht die bei ihr eingereichte Rechtsverweigerungsbeschwerde am 14. September 2017 materiell beurteilt, sie allerdings abgewiesen. Damit aber ist der nicht wiedergutzumachende Nachteil entfallen. Es geht einzig noch darum, ob der Beschwerdeführer die Kosten des Verfahrens zu tragen hat und ob sein Anwalt durch den Staat entschädigt wird. Diese Fragen können ohne Nachteil auch erst im Anschluss an den kantonalen Endentscheid in der Sache beurteilt werden ( BGE 139 V 600 E. 2.3; 133 V 645 E. 2.2). Auf die Beschwerde ist daher mangels nicht wiedergutzumachenden Nachteils nicht einzutreten.</w:t>
      </w:r>
    </w:p>
    <w:p>
      <w:r>
        <w:rPr>
          <w:b/>
        </w:rPr>
        <w:t>E. 3</w:t>
      </w:r>
    </w:p>
    <w:p>
      <w:r>
        <w:t>Entsprechend diesem Verfahrensausgang wäre der Beschwerdeführer für das bundesgerichtliche Verfahren kostenpflichtig ( Art. 66 Abs. 1 BGG ). Er hat allerdings auch für dieses ein Gesuch um unentgeltliche Rechtspflege und Verbeiständung gestellt ( Art. 64 BGG ). Der dem Verfahren zugrundeliegende Rechtsstandpunkt des Beschwerdeführers, wonach er einen Anspruch darauf hat, dass die Behörden überprüfen und durch anfechtbare Verfügung entscheiden, ob er ausgeschafft werden kann, ist nicht aussichtslos. Dass der für die Ergreifung der subsidiären Verfassungsbeschwerde erforderliche nicht wiedergutzumachende Nachteil zunächst zwar gegeben, dann aber entfallen war, musste dem Anwalt nicht derart vor Augen stehen, dass er von der Ergreifung des Rechtsmittels hätte absehen müssen. Das Gesuch um unentgeltliche Rechtspflege im bundesgerichtlichen Verfahren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