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2C_83/2014 vom 28. Januar 2014</w:t>
      </w:r>
    </w:p>
    <w:p>
      <w:r>
        <w:t>Bundesgericht, 2014-01-28, FR</w:t>
      </w:r>
    </w:p>
    <w:p>
      <w:r>
        <w:rPr>
          <w:b/>
        </w:rPr>
        <w:t xml:space="preserve">Quelle: </w:t>
      </w:r>
      <w:r>
        <w:t>https://mcp.opencaselaw.ch/entscheid/bger_2C_83_2014</w:t>
      </w:r>
    </w:p>
    <w:p>
      <w:r>
        <w:t>FR: TF 2C_83/2014 du 28 janvier 2014</w:t>
      </w:r>
    </w:p>
    <w:p>
      <w:r>
        <w:t>IT: TF 2C_83/2014 del 28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7 janvier 2014, le Juge II du district de Sion a rejeté la demande de récusation déposée par X.________ contre Y.________, juge I du Tribunal de district de Monthey.</w:t>
      </w:r>
    </w:p>
    <w:p>
      <w:r>
        <w:rPr>
          <w:b/>
        </w:rPr>
        <w:t>E. 2</w:t>
      </w:r>
    </w:p>
    <w:p>
      <w:r>
        <w:t>Par courrier du 18 janvier 2014, X.________ dépose un recours contre la décision du 7 janvier 2014 auprès du Tribunal fédéral.</w:t>
      </w:r>
    </w:p>
    <w:p>
      <w:r>
        <w:rPr>
          <w:b/>
        </w:rPr>
        <w:t>E. 3</w:t>
      </w:r>
    </w:p>
    <w:p>
      <w:r>
        <w:t>Aux termes de l' art. 86 al. 1 let . d LTF, le recours en matière de droit public est recevable contre les décisions des autorités cantonales de dernière instance.</w:t>
      </w:r>
    </w:p>
    <w:p>
      <w:r>
        <w:t>En l'espèce, la décision attaquée est une décision de première instance cantonale, qui ne peut par conséquent pas faire l'objet d'un recours auprès du Tribunal fédéral.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Succombant, le recourant doit supporter un émolument judiciaire réduit ( art. 65 et 66 LTF ). Il n'est pas alloué de dépens ( art.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