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2C_835/2022 vom 7. März 2023</w:t>
      </w:r>
    </w:p>
    <w:p>
      <w:r>
        <w:t>Bundesgericht, 2023-03-07, FR</w:t>
      </w:r>
    </w:p>
    <w:p>
      <w:r>
        <w:rPr>
          <w:b/>
        </w:rPr>
        <w:t xml:space="preserve">Quelle: </w:t>
      </w:r>
      <w:r>
        <w:t>https://mcp.opencaselaw.ch/entscheid/bger_2C_835_2022</w:t>
      </w:r>
    </w:p>
    <w:p>
      <w:r>
        <w:t>FR: TF 2C_835/2022 du 7 mars 2023</w:t>
      </w:r>
    </w:p>
    <w:p>
      <w:r>
        <w:t>IT: TF 2C_835/2022 del 7 marzo 2023</w:t>
      </w:r>
    </w:p>
    <w:p>
      <w:pPr>
        <w:pStyle w:val="Heading2"/>
      </w:pPr>
      <w:r>
        <w:t>Erwägungen</w:t>
      </w:r>
    </w:p>
    <w:p>
      <w:r>
        <w:rPr>
          <w:b/>
        </w:rPr>
        <w:t>E. 1</w:t>
      </w:r>
    </w:p>
    <w:p>
      <w:r>
        <w:t>Le Tribunal fédéral examine d'office sa compétence ( art. 29 al. 1 LTF ) et contrôle librement la recevabilité des recours qui lui sont soumis ( ATF 147 IV 453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133 II 353 consid. 1 et les références citées).</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Le Tribunal fédéral a jugé récemment que les aides financières à fonds perdu accordées par les cantons aux entreprises dans le but de maintenir leur activité en relation avec l'épidémie de Covid-19 étaient des subventions au sens de l' art. 83 let . k LTF (arrêts 2C_711/2022 du 9 décembre 2022 consid. 1.2; 2C_401/2022 du 2 novembre 2022 consid. 1.2; 2C_8/2022 du 28 septembre 2022 consid. 1.2). L'aide financière sollicitée par la recourante est fondée sur l'arrêté vaudois sur les mesures économiques destinées à lutter contre les effets du coronavirus (Covid-19) par un soutien aux entreprises, dans des cas de rigueur (RS/VD 900.05.021220.5; ci-après: l'arrêté cantonal). A teneur de l'art. 1 al. 2 de l'arrêté cantonal, cette aide financière consiste en des contributions non remboursables à fonds perdu de l'Etat de Vaud visant à permettre aux entreprises qui manquent de liquidités en raison de la baisse de leur chiffre d'affaires liée à la pandémie de Covid-19 de préserver leur existence et de poursuivre leurs activités (cf. art. 1 al. 1bis de l'arrêté cantonal). Il s'agit donc bien d'une subvention au sens de la jurisprudence précitée.</w:t>
      </w:r>
    </w:p>
    <w:p>
      <w:r>
        <w:rPr>
          <w:b/>
        </w:rPr>
        <w:t>E. 1.3</w:t>
      </w:r>
    </w:p>
    <w:p>
      <w:r>
        <w:t>Selon la jurisprudence, il existe un droit à la subvention au sens de l' art. 83 let . k LTF lorsque la législation elle-même précise de manière suffisamment concrète les conditions d'octroi de la prestation, sans laisser à l'appréciation des autorités d'application le soin de déterminer si un montant sera ou non alloué ( ATF 145 I 121 consid. 1.2; 138 II 191 consid. 4.2.4; arrêt 2C_711/2022 du 9 décembre 2022 consid. 1.3.1). Il est sans importance que l'acte fondant le droit aux subventions soit une loi ou une ordonnance ou que la reconnaissance d'un droit découle de plusieurs actes, telles une loi et son ordonnance d'application ( ATF 129 V 226 consid. 2.2; arrêts 2C_711/2022 du 9 décembre 2022 consid. 1.3.1; 2C_8/2022 du 28 septembre 2022 consid. 1.3.1; 2C_403/2021 du 20 septembre 2021 consid. 1.3; 2C_69/2020 du 22 octobre 2020 consid. 2.5.1). Si les conditions d'octroi sont suffisamment précises, il existe un droit à la subvention même si l'autorité dispose, dans le cadre de ces dispositions, d'une certaine marge de manoeuvre, notamment pour fixer le montant de l'aide ( ATF 110 Ib 297 consid. 1; arrêt 2C_711/2022 du 9 décembre 2022 consid. 1.3.1; 2C_229/2015 du 31 mars 2016 consid. 1.2.2).</w:t>
      </w:r>
    </w:p>
    <w:p>
      <w:r>
        <w:rPr>
          <w:b/>
        </w:rPr>
        <w:t>E. 1.4</w:t>
      </w:r>
    </w:p>
    <w:p>
      <w:r>
        <w:t>Le Tribunal fédéral a jugé, dans plusieurs affaires, que des aides financières pour cas de rigueur destinées aux entreprises en lien avec l'épidémie de Covid-19 étaient des subventions auxquelles la législation ne donnait pas droit (cf. arrêts 2C_711/2022 du 9 décembre 2022 consid. 1.2 à 1.4; 2C_401/2022 du 2 novembre 2022 consid. 1; 2C_8/2022 du 28 septembre 2022 consid. 1.1 à 1.3).</w:t>
      </w:r>
    </w:p>
    <w:p>
      <w:r>
        <w:rPr>
          <w:b/>
        </w:rPr>
        <w:t>E. 1.5</w:t>
      </w:r>
    </w:p>
    <w:p>
      <w:r>
        <w:t>En l'espèce, l'art. 1 al. 3 de l'arrêté cantonal prévoit expressément qu'il n'existe aucun droit à l'obtention d'un soutien financier. Le point de savoir si les dispositions cantonales prises dans leur ensemble donnent droit aux subventions en cause, malgré la teneur de l'art. 1 al. 3 de l'arrêté (cf.</w:t>
      </w:r>
    </w:p>
    <w:p>
      <w:r>
        <w:t>supra consid. 1.3), n'est pas évident. Aucun élément ressortant de l'arrêt attaqué, des écritures de la recourante ou des déterminations des autorités déposées devant la Cour de céans ne permet de trancher cette question qui nécessiterait une analyse détaillée des dispositions cantonales applicables, dispositions que le Tribunal fédéral n'examine pas librement (cf. art. 95 LTF ). Il incombait en effet en premier lieu à la recourante d'exposer de manière détaillée en quoi le motif d'exclusion de l' art. 83 let . k LTF n'entrait pas en considération en l'espèce ( art. 42 al. 2 LTF ; arrêt 2C_631/2022 du 8 novembre 2022 consid. 1.3), ce qu'elle ne fait pas.</w:t>
      </w:r>
    </w:p>
    <w:p>
      <w:r>
        <w:rPr>
          <w:b/>
        </w:rPr>
        <w:t>E. 1.6</w:t>
      </w:r>
    </w:p>
    <w:p>
      <w:r>
        <w:t>Partant, le Tribunal fédéral n'étant pas en mesure d'examiner si le recours échappe à la clause d'irrecevabilité de l' art. 83 let . k LTF, faute de motivation suffisante, la voie du recours en matière de droit public est exclue.</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arrêts 2C_401/2022 du 2 novembre 2022 consid. 2.1; 2C_200/2017 du 14 juillet 2017 consid. 1.2.3).</w:t>
      </w:r>
    </w:p>
    <w:p>
      <w:r>
        <w:rPr>
          <w:b/>
        </w:rPr>
        <w:t>E. 2.2</w:t>
      </w:r>
    </w:p>
    <w:p>
      <w:r>
        <w:t>En l'espèce, comme on vient de le voir, la recourante ne démontre pas disposer d'un droit à l'octroi de la subvention litigieuse (cf.</w:t>
      </w:r>
    </w:p>
    <w:p>
      <w:r>
        <w:t>supra consid. 1.5), alors qu'il lui incombait d'alléguer les éléments propres à fonder sa qualité pour recourir (cf. art. 42 al. 1 et 2 LTF ; ATF 141 IV 1 consid. 1.1). On ne peut donc admettre que la recourante possède un intérêt juridique suffisant au sens de l' art. 115 al. 1 let. b LTF pour se plaindre de manière indépendante de l'arbitraire dans l'application du droit cantonal, lequel ne fonde aucune position juridique protégée invocable dans le cadre d'un recours constitutionnel subsidiaire. Les critiques concernant cet aspect sont donc irrecevables.</w:t>
      </w:r>
    </w:p>
    <w:p>
      <w:r>
        <w:rPr>
          <w:b/>
        </w:rPr>
        <w:t>E. 2.3</w:t>
      </w:r>
    </w:p>
    <w:p>
      <w:r>
        <w:t>Partant, la voie du recours constitutionnel subsidiaire est également exclue, la recourante n'invoquant au demeurant pas de griefs de nature formelle qu'elle pourrait faire valoir indépendamment du fond ("</w:t>
      </w:r>
    </w:p>
    <w:p>
      <w:r>
        <w:t>Star-Praxis "; cf. ATF 141 IV 1 consid. 1.1; 137 II 305 consid. 2; arrêt 2D_32/2022 du 25 novembre 2022 consid. 2.2).</w:t>
      </w:r>
    </w:p>
    <w:p>
      <w:r>
        <w:rPr>
          <w:b/>
        </w:rPr>
        <w:t>E. 3</w:t>
      </w:r>
    </w:p>
    <w:p>
      <w:r>
        <w:t>Sur le vu de ce qui précède, le recours est irrecevable.</w:t>
      </w:r>
    </w:p>
    <w:p>
      <w:r>
        <w:t>Les frais judiciaires, réduits,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