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2C_832/2009 vom 29. Juni 2010</w:t>
      </w:r>
    </w:p>
    <w:p>
      <w:r>
        <w:t>Bundesgericht, 2010-06-29, DE</w:t>
      </w:r>
    </w:p>
    <w:p>
      <w:r>
        <w:rPr>
          <w:b/>
        </w:rPr>
        <w:t xml:space="preserve">Quelle: </w:t>
      </w:r>
      <w:r>
        <w:t>https://mcp.opencaselaw.ch/entscheid/bger_2C_832_2009</w:t>
      </w:r>
    </w:p>
    <w:p>
      <w:r>
        <w:t>FR: TF 2C_832/2009 du 29 juin 2010</w:t>
      </w:r>
    </w:p>
    <w:p>
      <w:r>
        <w:t>IT: TF 2C_832/2009 del 29 giugno 2010</w:t>
      </w:r>
    </w:p>
    <w:p>
      <w:pPr>
        <w:pStyle w:val="Heading2"/>
      </w:pPr>
      <w:r>
        <w:t>Erwägungen</w:t>
      </w:r>
    </w:p>
    <w:p>
      <w:r>
        <w:rPr>
          <w:b/>
        </w:rPr>
        <w:t>E. 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gemäss Art. 89 Abs. 1 BGG legitimiert. Auf die im Übrigen form- und fristgerecht eingereichte Beschwerde ( Art. 42 und Art. 100 Abs. 1 BGG ) ist daher einzutreten.</w:t>
      </w:r>
    </w:p>
    <w:p>
      <w:r>
        <w:rPr>
          <w:b/>
        </w:rPr>
        <w:t>E. 2</w:t>
      </w:r>
    </w:p>
    <w:p>
      <w:r>
        <w:t>Das streitige Widerrufsverfahren wurde am 22. August 2008, d.h. nach Inkrafttreten des Bundesgesetzes vom 16. Dezember 2005 über die Ausländerinnen und Ausländer (AuG; SR 142.20) per 1. Januar 2008 eröffnet, womit der vorliegende Fall nach Massgabe der Bestimmungen dieses Gesetzes zu beurteilen ist (Art. 126 Abs. 1 AuG e contrario; vgl. Urteil 2C_745/2008 vom 24. Februar 2009 E. 1.2.3).</w:t>
      </w:r>
    </w:p>
    <w:p>
      <w:r>
        <w:rPr>
          <w:b/>
        </w:rPr>
        <w:t>E. 3</w:t>
      </w:r>
    </w:p>
    <w:p>
      <w:r>
        <w:t>Gemäss Art. 63 Abs. 1 lit. a AuG in Verbindung mit Art. 62 lit. b AuG kann die Niederlassungsbewilligung widerrufen werden, wenn ein Ausländer zu einer längerfristigen Freiheitsstrafe verurteilt wurde. Als "längerfristig" gilt eine Freiheitsstrafe, wenn ihre Dauer ein Jahr überschreitet ( BGE 135 II 377 E. 4.2 und E. 4.5 S. 379 ff.). Ein auf die genannten Bestimmungen gestützter Widerruf der Niederlassungsbewilligung kann auch dann erfolgen, wenn sich ein Ausländer - wie vorliegend der Beschwerdeführer - seit mehr als 15 Jahren ununterbrochen und ordnungsgemäss in der Schweiz aufgehalten hat (Art. 63 Abs. 2 AuG). Der Beschwerdeführer wurde u.a. zu einer Freiheitsstrafe von 21 Monaten verurteilt und hat somit einen Widerrufsgrund gesetzt, was er zu Recht nicht bestreitet.</w:t>
      </w:r>
    </w:p>
    <w:p>
      <w:r>
        <w:rPr>
          <w:b/>
        </w:rPr>
        <w:t>E. 4.1</w:t>
      </w:r>
    </w:p>
    <w:p>
      <w:r>
        <w:t>Ein Widerruf der Niederlassungsbewilligung setzt voraus, dass die vorzunehmende Interessenabwägung diese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sowie für das alte Recht Art. 11 Abs. 3 des Bundesgesetzes vom 26. März 1931 über Aufenthalt und Niederlassung der Ausländer [ANAG; in Kraft gewesen bis zum 31. Dezember 2007] und Art. 16 Abs. 3 der Vollziehungsverordnung vom 1. März 1949 zum Bundesgesetz über Aufenthalt und Niederlassung der Ausländer [ANAV; in Kraft gewesen bis zum 31. Dezember 2007]; Urteil 2A.451/2002 vom 28. März 2003 E. 2, nicht publ. in: BGE 129 II 215 ).</w:t>
      </w:r>
    </w:p>
    <w:p>
      <w:r>
        <w:rPr>
          <w:b/>
        </w:rPr>
        <w:t>E. 4.2</w:t>
      </w:r>
    </w:p>
    <w:p>
      <w:r>
        <w:t>Der Beschwerdeführer erachtet den Widerruf als unverhältnismässig:</w:t>
      </w:r>
    </w:p>
    <w:p>
      <w:r>
        <w:t>Er sei bereits als Sechsjähriger in die Schweiz gekommen und habe hier seine gesamte Kinder- und Jugendzeit sowie sein ganzes seitheriges Leben verbracht; ein Widerruf der Niederlassungsbewilligung falle daher nur in Betracht, wenn besonders schwere Gewalt-, Sexual- oder Betäubungsmitteldelikte vorlägen. Die gegen ihn ergangenen strafrechtlichen Verurteilungen könnten zwar nicht verharmlost werden, doch seien sie auch nicht von einer derartigen Schwere, dass sie gewissermassen automatisch den Widerruf der Niederlassungsbewilligung rechtfertigen würden. Vielmehr komme es im Rahmen der Verhältnismässigkeitsprüfung entscheidend auf die weiteren Umstände an.</w:t>
      </w:r>
    </w:p>
    <w:p>
      <w:r>
        <w:t>In diesem Zusammenhang sei vor allem von Bedeutung, dass mit Urteil des Kreisgerichts Rheintal vom 11. April 2008 eine resozialisierende Massnahme für junge Erwachsene gemäss Art. 61 StGB angeordnet wurde, was ausdrücklich eine positive Prognose voraussetze. Im Massnahmevollzug sei es zwar zu einigen Schwierigkeiten, insbesondere zu verschiedenen Entweichungen gekommen, doch werde der Massnahmeverlauf von den zuständigen Mitarbeitern des Massnahmenzentrums Kalchrain insgesamt als positiv beurteilt. Hervorzuheben sei, dass er, der Beschwerdeführer, durch den Massnahmevollzug zum ersten Mal in seinem Leben die Möglichkeit erhalten habe, eine Ausbildung zu absolvieren. Hierdurch hätten sich seine Perspektiven auch aus ausländerrechtlichem Blickwinkel entscheidend verbessert. Es sei daher unverständlich, wenn bezüglich seines Aufenthaltsrechts in der Schweiz nicht auf den (weiteren) Verlauf der Massnahme Rücksicht genommen werde.</w:t>
      </w:r>
    </w:p>
    <w:p>
      <w:r>
        <w:rPr>
          <w:b/>
        </w:rPr>
        <w:t>E. 4.3</w:t>
      </w:r>
    </w:p>
    <w:p>
      <w:r>
        <w:t>Die Einwendungen des Beschwerdeführers vermögen nicht zu überzeugen:</w:t>
      </w:r>
    </w:p>
    <w:p>
      <w:r>
        <w:t>Es trifft an sich zu, dass der Widerruf der Niederlassungsbewilligung eines Ausländers, welcher sich schon seit langer Zeit hier aufhält, nur mit Zurückhaltung angeordnet werden soll. Bei wiederholter bzw. schwerer Straffälligkeit ist diese Massnahme jedoch selbst dann nicht ausgeschlossen, wenn ein Ausländer hier geboren ist und sein ganzes bisheriges Leben in der Schweiz verbracht hat (vgl. die bundesgerichtliche Praxis zur altrechtlichen Ausweisung; BGE 130 II 176 E. 4.4.2 S. 190; 125 II 521 E. 2b S. 523 f.; 122 II 433 E. 2 f. S. 435 ff.). Die zahlreichen vom Beschwerdeführer begangenen Straftaten und seine Verurteilungen zu Freiheitsstrafen von gesamthaft über zweieinhalb Jahren lassen auf ein schweres Verschulden und auf eine erhebliche kriminelle Energie schliessen. Durch seine Delinquenz demonstrierte er eine ausgeprägte Geringschätzung der Rechtsordnung, was ein Verbleiben in der Schweiz grundsätzlich ausschliesst. In jedem Fall durften die Vorinstanzen aber von einem gewichtigen öffentlichen Interesse am Widerruf seiner Niederlassungsbewilligung ausgehen.</w:t>
      </w:r>
    </w:p>
    <w:p>
      <w:r>
        <w:t>Der Hinweis des Beschwerdeführers auf die von ihm behauptete günstige Rückfallprognose geht fehl: Wie das Verwaltungsgericht zutreffend ausgeführt hat, stellte er durch sein Verhalten in der Vergangenheit vielmehr unter Beweis, dass er sich von Strafuntersuchungen, Verurteilungen und gegen ihn verhängten Sanktionen nicht beeindrucken lässt. So wurde er mehrmals zu Strafen von warnendem Charakter (bedingt vollziehbare Freiheitsstrafen und zahlreiche Geldbussen) verurteilt, ohne dass ihn dies von der Begehung neuer Straftaten abgehalten hätte. Vielmehr delinquierte er teilweise noch innerhalb der ihm angesetzten Probezeit weiter. Auch eine fremdenpolizeiliche Verwarnung samt Androhung der Ausweisung blieb erfolglos. Bei dieser Sachlage entsteht vom Beschwerdeführer das Bild eines uneinsichtigen Gewohnheitsdelinquenten, der keine der zahlreichen ihm gewährten Chancen zu nutzen vermochte. Wie die Vorinstanz zu Recht erkannt hat, ändert sich dieser Eindruck auch nicht durch den bisherigen Verlauf des gegenwärtigen Massnahmevollzugs: Zwar wird in den Zwischenberichten des Massnahmenzentrums darauf hingewiesen, dass aus sozialpädagogischer Sicht verschiedene Verbesserungen und positive Entwicklungen erkennbar seien (Verzicht auf Drogenkonsum, Beginn einer Anlehre in der Schlosserei der Anstalt). Indessen muss diesen Berichten ebenfalls entnommen werden, dass der Beschwerdeführer mehrfach aus dem Massnahmevollzug entwichen ist, wobei ihn jeweils auch der Hinweis auf die Gewährung einer letzten Chance nicht an einer erneuten Flucht gehindert hat. Bei dieser Sachlage kann nicht auf eine echte Einsicht und auf eine nachhaltige Verhaltensveränderung des Beschwerdeführers geschlossen werden, welche ihm eine Abkehr von seiner bisherigen, schweren Delinquenz ermöglichen würde.</w:t>
      </w:r>
    </w:p>
    <w:p>
      <w:r>
        <w:t>Bei einer Gesamtbetrachtung der genannten Umstände muss davon ausgegangen werden, dass die weitere Anwesenheit des Beschwerdeführers in der Schweiz nach wie vor eine unzumutbare Beeinträchtigung der öffentlichen Sicherheit und Ordnung darstellen würde. Es verstösst daher nicht gegen Bundesrecht, wenn das Verwaltungsgericht die Verhältnismässigkeit des Widerrufs der Niederlassungsbewilligung bejaht hat.</w:t>
      </w:r>
    </w:p>
    <w:p>
      <w:r>
        <w:rPr>
          <w:b/>
        </w:rPr>
        <w:t>E. 5</w:t>
      </w:r>
    </w:p>
    <w:p>
      <w:r>
        <w:t>Soweit der Beschwerdeführer im Weiteren betont, dass seine ganze Familie (Vater, Stiefmutter, hier verheiratete Schwester und zwei Stiefbrüder) in der Schweiz lebte, und er sich in diesem Zusammenhang auf Art. 8 Ziff. 1 EMRK beruft, kann seiner Rüge ebenfalls nicht gefolgt werden:</w:t>
      </w:r>
    </w:p>
    <w:p>
      <w:r>
        <w:t>Aus dem von dieser Bestimmung u.a.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126 II 377 E. 2c S. 384 ff.; 120 Ib 16 E. 3b S. 22). Solche qualifizierten Bindungen des Beschwerdeführers zur Schweiz sind nicht zu erkennen und werden von ihm auch nicht dargelegt.</w:t>
      </w:r>
    </w:p>
    <w:p>
      <w:r>
        <w:t>Das in Art. 8 Ziff. 1 EMRK ebenfalls verankerte Recht auf Achtung des Familienlebens beschränkt sich grundsätzlich auf die Kernfamilie, d.h. die Gemeinschaft der Ehegatten mit ihren minderjährigen Kindern (vgl. BGE 129 II 11 E. 2 S. 14). Zwar hat der Europäische Gerichtshof für Menschenrechte (EGMR) in verschiedenen Entscheiden festgehalten, dass unter bestimmten Voraussetzungen auch die Beziehung von jungen Erwachsenen zu ihren Eltern vom Begriff des Familienlebens im Sinne der Konvention erfasst sein kann (vgl. Urteil des EGMR in Sachen Maslov gegen Österreich vom 23. Juni 2008 Rz. 62, mit Hinweisen). Dennoch ist zumindest fraglich, ob sich der volljährige Beschwerdeführer aufgrund der Beziehung zu seinem Vater und seiner Stiefmutter auf den Schutzbereich von Art. 8 Ziff. 1 EMRK berufen kann. Die Frage kann jedoch offen bleiben, zumal der betreffende Anspruch jedenfalls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Gleich wie Art. 96 Abs. 1 AuG verlangt die Konvention in diesem Zusammenhang eine Abwägung der sich gegenüberstehenden privaten Interessen an der Aufrechterhaltung der Bewilligung und den öffentlichen Interessen an deren Widerruf, wobei insbesondere die Schwere der begangenen Delikte, der seit der Tat vergangene Zeitraum, das Verhalten des Ausländers während dieser Periode, die Auswirkungen auf die betroffene Person sowie deren familiäre Situation zu berücksichtigen sind. Da die Entscheidungskriterien somit nahezu identisch sind, hält eine Ausweisung, die sich - wie im vorliegenden Fall - im Sinne von Art. 96 Abs. 1 AuG als verhältnismässig erweist, grundsätzlich auch vor Art. 8 EMRK stand.</w:t>
      </w:r>
    </w:p>
    <w:p>
      <w:r>
        <w:t>Nichts anderes ergibt sich aus dem vom Beschwerdeführer angerufenen Urteil des EGMR vom 22. Mai 2008 in Sachen Emre gegen die Schweiz, welches die Verhältnismässigkeit einer Ausweisung ( Art. 10 Abs. 1 lit. a ANAG ) zum Gegenstand hatte und eine Verletzung von Art. 8 Ziff. 1 EMRK feststellte: Einerseits lag der gegen Emre verfügten Massnahme eine wesentlich geringfügigere Delinquenz als jene des Beschwerdeführers zu Grunde: Emre wurde insgesamt zu Freiheitsstrafen von 18 ½ Monaten verurteilt, während gegen den Beschwerdeführer Straferkenntnisse von über zweieinhalb Jahren ergingen. Andererseits ist dem genannten Urteil des EGMR zu entnehmen, dass es der Gerichtshof in erster Linie als problematisch erachtete, dass es Emre durch die Ausweisung auf unbefristete Dauer verboten wurde, schweizerisches Gebiet zu betreten, und zum Zeitpunkt des Entscheides keine konkrete Möglichkeit einer vorübergehenden oder dauerhaften Aufhebung jener Massnahme ersichtlich war (Rz. 84 f. des erwähnten Entscheids; Urteil 2F_11/2008 vom 6. Juli 2009 E. 4.2). In der Zwischenzeit, mit Inkrafttreten des neuen Ausländergesetzes per 1. Januar 2008, wurde das Instrument der Ausweisung indes abgeschafft (mit Ausnahme der "politischen Ausweisung" gem. Art. 68 AuG) und durch die Erweiterung der bisherigen Gründe für einen Bewilligungswiderruf ersetzt (vgl. ZÜND / ARQUINT, Beendigung der Anwesenheit, Entfernung und Fernhaltung, in: Uebersax und andere [Hrsg.], Ausländerrecht, 2. Aufl. 2009, Rz. 8.2). Anders als die altrechtliche Ausweisung stellt ein Bewilligungswiderruf keine Fernhaltemassnahme dar: Während Art. 11 Abs. 4 ANAG das Betreten der Schweiz während der Dauer der Ausweisung grundsätzlich untersagte, ist mit dem blossen Widerruf einer Aufenthalts- oder Niederlassungsbewilligung kein solches Verbot verbunden. Dies bedeutet, dass Reisen in die Schweiz (etwa zu Besuchszwecken) bei Erfüllung der gesetzlichen Einreisevoraussetzungen durch die hier streitige Massnahme nicht verunmöglicht werden.</w:t>
      </w:r>
    </w:p>
    <w:p>
      <w:r>
        <w:rPr>
          <w:b/>
        </w:rPr>
        <w:t>E. 6</w:t>
      </w:r>
    </w:p>
    <w:p>
      <w:r>
        <w:t>Die Beschwerde in öffentlich-rechtlichen Angelegenheiten erweist sich nach dem Ausgeführten als unbegründet und ist abzuweisen.</w:t>
      </w:r>
    </w:p>
    <w:p>
      <w:r>
        <w:t>Entsprechend diesem Verfahrensausgang wären die Kosten des bundesgerichtlichen Verfahrens an sich dem Beschwerdeführer aufzuerlegen (Art. 65 f. BGG). Jedoch kann dem Gesuch des Beschwerdeführers um unentgeltliche Rechtspflege im bundesgerichtlichen Verfahren entsprochen werden, da seine Bedürftigkeit als erstellt gelten kann und die Beschwerde nicht gerade als von vornherein aussichtslos zu bezeichnen ist ( Art. 64 BGG ; vgl. das in der vorliegenden Angelegenheit ergangene Urteil 2C_230/2009 vom 2. Juli 2009 betreffend die unentgeltliche Rechtspflege und Verbeiständung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