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2C_830/2008 vom 11. November 2009</w:t>
      </w:r>
    </w:p>
    <w:p>
      <w:r>
        <w:t>Bundesgericht, 2009-11-11, DE</w:t>
      </w:r>
    </w:p>
    <w:p>
      <w:r>
        <w:rPr>
          <w:b/>
        </w:rPr>
        <w:t xml:space="preserve">Quelle: </w:t>
      </w:r>
      <w:r>
        <w:t>https://mcp.opencaselaw.ch/entscheid/bger_2C_830_2008</w:t>
      </w:r>
    </w:p>
    <w:p>
      <w:r>
        <w:t>FR: TF 2C_830/2008 du 11 novembre 2009</w:t>
      </w:r>
    </w:p>
    <w:p>
      <w:r>
        <w:t>IT: TF 2C_830/2008 del 11 novembre 2009</w:t>
      </w:r>
    </w:p>
    <w:p>
      <w:pPr>
        <w:pStyle w:val="Heading2"/>
      </w:pPr>
      <w:r>
        <w:t>Erwägungen</w:t>
      </w:r>
    </w:p>
    <w:p>
      <w:r>
        <w:rPr>
          <w:b/>
        </w:rPr>
        <w:t>E. 1.1</w:t>
      </w:r>
    </w:p>
    <w:p>
      <w:r>
        <w:t>Ein zweiter Schriftenwechsel wurde nicht angeordnet (vgl. Art. 102 Abs. 3 BGG ). Ob auf die nach Ablauf der Vernehmlassungsfrist eingereichte Ergänzung der Vernehmlassung der Beschwerdegegnerin betreffend ein zusätzliches rechtliches Argument einzutreten ist, kann offen bleiben, da das Bundesgericht das Recht von Amtes wegen anwendet ( Art. 106 Abs. 1 BGG ).</w:t>
      </w:r>
    </w:p>
    <w:p>
      <w:r>
        <w:rPr>
          <w:b/>
        </w:rPr>
        <w:t>E. 1.2</w:t>
      </w:r>
    </w:p>
    <w:p>
      <w:r>
        <w:t>Der angefochtene Entscheid des Bundesverwaltungsgerichts betrifft eine Angelegenheit des öffentlichen Rechts ( Art. 82 lit. a BGG ) und fällt unter keine der in Art. 83 BGG erwähnten Ausnahmen, weshalb er an das Bundesgericht weitergezogen werden kann ( Art. 86 Abs. 1 lit. a BGG ); die Eidgenössische Steuerverwaltung ist zur Beschwerde legitimiert ( Art. 89 Abs. 2 lit. a BGG in Verbindung mit Art. 45b Abs. 2 MWSTGV ).</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w:t>
      </w:r>
    </w:p>
    <w:p>
      <w:r>
        <w:rPr>
          <w:b/>
        </w:rPr>
        <w:t>E. 2.1</w:t>
      </w:r>
    </w:p>
    <w:p>
      <w:r>
        <w:t>Die Beschwerdeführerin erachtet das Dispositiv des angefochtenen Entscheides als falsch. Ihres Erachtens hätte die Beschwerde allenfalls teilweise gutgeheissen werden müssen. Die vollständige Gutheissung und die dementsprechende Auflage von Verfahrens- und Parteikosten verletze hingegen Art. 63 Abs. 1 und Art. 64 Abs. 1 VwVG (SR 172.021) in Verbindung mit Art. 7 Abs. 2 des Reglementes vom 21. Februar 2008 über die Kosten und Entschädigungen vor dem Bundesverwaltungsgericht (VGKE; SR 173.320.2).</w:t>
      </w:r>
    </w:p>
    <w:p>
      <w:r>
        <w:rPr>
          <w:b/>
        </w:rPr>
        <w:t>E. 2.2</w:t>
      </w:r>
    </w:p>
    <w:p>
      <w:r>
        <w:t>Die Rüge ist unbegründet. Im Einspracheentscheid wurde zwar festgestellt, die Umsätze aus dem Verkauf des Aufbaupräparates seien zum Normalsatz von 7,5 % (bis 31. Dezember 2000) bzw. von 7,6 % (seit dem 1. Januar 2001) zu versteuern (Dispositiv Ziff. 2); zugleich wurde aber erkannt, die Beschwerdegegnerin habe die sich daraus ergebende Differenz von Fr. 393'948.-- zu bezahlen (Dispositiv Ziff. 3). Es handelt sich somit insgesamt um ein Leistungsurteil, womit allfällige, diesem zu Grunde liegende Feststellungen keinen selbständigen Charakter haben (vgl. BGE 126 II 300 E. 2c).</w:t>
      </w:r>
    </w:p>
    <w:p>
      <w:r>
        <w:t>Die Vorinstanz ihrerseits ist zwar zum Schluss gekommen, das Aufbaupräparat hätte zum Normalsatz besteuert werden müssen; da jedoch die Beschwerdegegnerin nach Treu und Glauben davon habe ausgehen dürfen, sie müsse die Umsätze mit dem Aufbaupräparat nur zum reduzierten Satz versteuern, schulde sie die Mehrwertsteuer im geltend gemachten Umfang nicht. Die Vorinstanz hat bei diesem Ergebnis zu Recht die Beschwerde - mit welcher die Aufhebung des Einspracheentscheides und die Feststellung, dass das Aufbaupräparat in der Zeit vom 1. Januar 1999 bis 30. Juni 2004 zum reduzierten Steuersatz zu versteuern sei, verlangt worden war - vollständig gutgeheissen, denn auf Grund der Bejahung des Vertrauensschutzes durch die Vorinstanz unterliegen die in der fraglichen Zeit erzielten Umsätze ausnahmsweise eben nicht dem gemäss Einspracheentscheid (Dispositiv Ziff. 2) anwendbaren Normalsatz, der sonst richtigerweise auf dieses Produkt grundsätzlich anzuwenden wäre. Die zusätzliche Mehrwertsteuerforderung der Beschwerdeführerin wurde damit im vollen Umfang aufgehoben. Entgegen der Auffassung der Beschwerdeführerin hätte das angefochtene Urteil daher nicht auf teilweise Gutheissung lauten müssen und ist somit auch nicht bereits aus diesem Grund aufzuheben.</w:t>
      </w:r>
    </w:p>
    <w:p>
      <w:r>
        <w:t>Der Einwand der Beschwerdeführerin, die Vorinstanz habe ohne zeitliche Beschränkung festgehalten, dass das Aufbaupräparat zum Normalsatz zu besteuern sei, ist ebenfalls unbegründet. Denn Streitgegenstand bildete einzig die Besteuerung des Aufbauproduktes im Zeitraum vom 1. Januar 1999 bis 30. Juni 2004 gemäss Ergänzungsabrechnung vom 25. August 2005 bzw. die für diesen Zeitraum geschuldete Steuerdifferenz von Fr. 393'948.--.</w:t>
      </w:r>
    </w:p>
    <w:p>
      <w:r>
        <w:rPr>
          <w:b/>
        </w:rPr>
        <w:t>E. 2.3</w:t>
      </w:r>
    </w:p>
    <w:p>
      <w:r>
        <w:t>Ist demnach von einem vollständigen Obsiegen der Beschwerdegegnerin auszugehen, verletzt auch die durch die Vorinstanz nach Ermessen festgesetzte Höhe der Parteientschädigung kein Bundesrecht. Die Berufung der Beschwerdeführerin auf die Regelung der Parteientschädigung vor Bundesgericht ist unbehelflich, da für das Bundesverwaltungsgericht keine Regelung mit Streitwerttarif besteht und der Aufwand des Anwaltes, als gewichtigster Kostenposten (André Moser und andere, Prozessieren vor dem Bundesverwaltungsgericht, 2008, § 4 Ziff. 4.75), vor der ersten gerichtlichen Instanz regelmässig erheblich höher ist als vor der letzten Instanz.</w:t>
      </w:r>
    </w:p>
    <w:p>
      <w:r>
        <w:rPr>
          <w:b/>
        </w:rPr>
        <w:t>E. 3.1</w:t>
      </w:r>
    </w:p>
    <w:p>
      <w:r>
        <w:t>Die Beschwerdeführerin rügt, das angefochtene Urteil verletze, weil die Voraussetzungen für die Berufung auf den Vertrauensschutz nicht erfüllt seien, Art. 9 BV "und daher" Art. 27 MWSTV bzw. Art. 36 MWSTG .</w:t>
      </w:r>
    </w:p>
    <w:p>
      <w:r>
        <w:rPr>
          <w:b/>
        </w:rPr>
        <w:t>E. 3.2</w:t>
      </w:r>
    </w:p>
    <w:p>
      <w:r>
        <w:t>Die Beschwerdegegnerin ihrerseits wendet sich gegen die grundsätzliche Qualifikation ihres Aufbaupräparates durch die Vorinstanz als "alkoholisches Getränk" im Sinne des Mehrwertsteuerrechts. Es ist daher zunächst zu prüfen, ob die Vorinstanz insoweit Bundesrecht verletzt hat.</w:t>
      </w:r>
    </w:p>
    <w:p>
      <w:r>
        <w:rPr>
          <w:b/>
        </w:rPr>
        <w:t>E. 4.1</w:t>
      </w:r>
    </w:p>
    <w:p>
      <w:r>
        <w:t>Gemäss den beiden im fraglichen Zeitraum anwendbaren Bestimmungen ( Art. 93 Abs. 1 MWSTG ) von Art. 27 Abs. 1 lit. a Ziff. 1 MWSTV bzw. Art. 36 Abs. 1 lit. a Ziff. 2 MWSTG gilt für die Lieferung und den Eigenverbrauch von Ess- und Trinkwaren, ausgenommen alkoholische Getränke, ein reduzierter Mehrwertsteuersatz von 2 % bzw. 2,4 %; der reduzierte Steuersatz gilt nicht, wenn diese Waren im Rahmen von gastgewerblichen Leistungen abgegeben werden. Diese Regelung beruht auf dem sozialpolitischen Grundgedanken, dass Güter des täglichen Bedarfs geringer zu besteuern sind, weil sie zum Existenzbedarf gehören; sie waren unter der Herrschaft des Warenumsatzsteuerbeschlusses sogar steuerbefreit (vgl. Urteil 2A.68/2003 vom 31. August 2004 E. 2, in: ASA 76 S. 212 ff.; vgl. Urteil 2A.83/1991 vom 3. September 1991, E. 1b, in: ASA 60 S. 643 ff.). Der reduzierte Steuersatz bildet im Mehrwertsteuerrecht eine Ausnahme, die als solche restriktiv zu handhaben ist (Urteil 2A.68/2003 vom 31. August 2004 E. 3.4, in ASA 76 S. 212 ff.). Es ist daher gerechtfertigt, nur die eigentliche Grundversorgung - d.h. Essen und Trinken, soweit sie der Aufrechterhaltung lebensnotwendiger Funktionen des menschlichen Organismus dienen - steuerlich geringer zu belasten (vgl. MARTIN KOCHER, in: mwst.com, 2000, N 3 zu Art. 36 MWSTG ).</w:t>
      </w:r>
    </w:p>
    <w:p>
      <w:r>
        <w:t>Unter diesem Gesichtspunkt erscheint bereits fraglich, ob ein Aufbaupräparat überhaupt zu den von dieser Bestimmung erfassten Produkten der menschlichen Grundversorgung gezählt werden kann. Die Frage kann jedoch offenbleiben.</w:t>
      </w:r>
    </w:p>
    <w:p>
      <w:r>
        <w:rPr>
          <w:b/>
        </w:rPr>
        <w:t>E. 4.2</w:t>
      </w:r>
    </w:p>
    <w:p>
      <w:r>
        <w:t>Weder Art. 27 MWSTV noch 36 MWSTG bestimmen, ab welchem Alkoholgehalt ein "alkoholisches Getränk" - und keine (alkoholfreie) Trinkware mehr - vorliegt.</w:t>
      </w:r>
    </w:p>
    <w:p>
      <w:r>
        <w:rPr>
          <w:b/>
        </w:rPr>
        <w:t>E. 4.3</w:t>
      </w:r>
    </w:p>
    <w:p>
      <w:r>
        <w:t>Die Eidgenössische Steuerverwaltung liess nach der Einführung der Mehrwertsteuer (am 1. Januar 1995) für die Anwendung des reduzierten Mehrwertsteuersatzes noch einen Alkoholgehalt von 0,7 Volumenprozenten zu (Merkblatt Nr. 18 "über die zu 2% steuerbaren Ess- und Trinkwaren sowie Futtermittel" Ziff. 1.3 [MWSTV],: Merkblatt Nr. 07 "Ess- und Trinkwaren sowie Futtermittel", Ziff. 1.2.3 [MWSTG]).</w:t>
      </w:r>
    </w:p>
    <w:p>
      <w:r>
        <w:t>Zuvor waren (unter der Geltung des Warenumsatzsteuerbeschlusses) alkoholfreie Getränke zu einem ermässigten Satz besteuert worden; von der Steuer ausdrücklich ausgenommen waren u.a. Esswaren und eine Reihe weiterer Lebensmittel; vorbehalten wurde bereits damals eine Erweiterung der sogenannten Freiliste auf die dem Sondersatz unterstellten Waren, namentlich die alkoholfreien Getränke (vgl. BBl 1957 575, insb. S. 578: "als Lebensmittel geltende Esswaren").</w:t>
      </w:r>
    </w:p>
    <w:p>
      <w:r>
        <w:t>Unter diesen Umständen stellt die Vorinstanz in Bezug auf die mehrwertsteuerlich notwendige Abgrenzung von alkoholfreien gegenüber alkoholischen Getränken zu Recht auf die in der Lebensmittelgesetzgebung diesbezüglich vorgenommenen Unterscheidungen ab, die analog anwendbar sind (vgl. auch Martin Kocher, a.a.O., N 12 f.).</w:t>
      </w:r>
    </w:p>
    <w:p>
      <w:r>
        <w:rPr>
          <w:b/>
        </w:rPr>
        <w:t>E. 4.4</w:t>
      </w:r>
    </w:p>
    <w:p>
      <w:r>
        <w:t>Die im hier in Frage stehenden Zeitraum noch anwendbare Lebensmittelverordnung vom 1. März 1995 (AS 1995 1491) schrieb vor, dass bei Getränken ein Alkoholgehalt von mehr als 0,5 Volumenprozenten auf der Verpackung oder Etikette anzugeben war, ergänzt durch das Symbol "% vol" ( Art. 22 Abs. 1 lit. g aLMV ); Nahrungsmittel waren bei einem Alkoholgehalt von mehr als 0,5 Massenprozenten als "alkoholhaltig" zu kennzeichnen ( Art. 22 Abs. 1 lit. f aLMV ). Zusätzlich wurde der zulässige Alkoholgehalt einzeln aufgeführter alkoholfreier Getränke, so etwa von Trauben- und Kernobstsaft, auf maximal 0,5 Volumenprozente festgelegt. Mit der am 1. Mai 2002 in Kraft getretenen Änderung vom 27. März 2002 wurde eine allgemeine Definition aufgenommen, nach welcher "übrige alkoholische Getränke" alle alkoholischen Getränke sind, welche einen Alkoholgehalt von mehr als 0,5 Volumenprozenten aufweisen und nicht in den Art. 336 bis 432 (aLMV) geregelt sind.</w:t>
      </w:r>
    </w:p>
    <w:p>
      <w:r>
        <w:t>Besonders erwähnt waren auch Speziallebensmittel, d.h. Lebensmittel, die für eine besondere Ernährung bestimmt sind, namentlich Ergänzungsnahrungen ( Art. 165 ff. aLMV ); sie mussten alkoholfrei sein ( Art. 166 Abs. 1 aLMV ). Diese Bestimmung wurde (offenbar auf Anregung der Beschwerdegegnerin) ergänzt, indem nun seit dem 1. Mai 2002 Alkohol insoweit enthalten sein darf, als dieser aus Eigengärung herrührt und die aufgenommene Alkoholmenge bei bestimmungsgemässem Konsum des betreffenden Lebensmittels 1 Gramm pro Tagesration nicht überschreitet (AS 2002 608).</w:t>
      </w:r>
    </w:p>
    <w:p>
      <w:r>
        <w:rPr>
          <w:b/>
        </w:rPr>
        <w:t>E. 4.5</w:t>
      </w:r>
    </w:p>
    <w:p>
      <w:r>
        <w:t>Die Vorinstanz hat demzufolge kein Bundesrecht verletzt, indem sie zum Schluss gekommen ist, die Eidgenössische Steuerverwaltung wende für Getränke mit einem Alkoholgehalt von mehr als 0,5 Volumenprozenten zu Recht den Normalsatz für die Mehrwertsteuer an. Es kann im Übrigen auf die ausführliche und zutreffende Begründung der Vorinstanz verwiesen werden (angefochtenes Urteil E. 2).</w:t>
      </w:r>
    </w:p>
    <w:p>
      <w:r>
        <w:rPr>
          <w:b/>
        </w:rPr>
        <w:t>E. 4.6</w:t>
      </w:r>
    </w:p>
    <w:p>
      <w:r>
        <w:t>Der Einwand der Beschwerdegegnerin, das in Frage stehende Aufbaupräparat sei zwar flüssig, aber nach allgemeinem Sprachgebrauch kein Getränk, ist unbegründet. Schon aus dem Wortlaut von 27 Abs. 1 lit. a Ziff. 1 MWSTV bzw. Art. 36 Abs. 1 lit. a Ziff. 2 MWSTG ergibt sich klar, dass von den Trinkwaren die alkoholischen Getränke ausgenommen sind. Sowohl die französische als auch die italienische Fassung verwenden denn auch für beides denselben Begriff ("boissons" bzw. "bevande"), ohne noch weitere Unterscheidungen zu treffen. Die Folgerung der Vorinstanz, die Begriffe Trinkware und Getränk würden synonym verwendet, ist somit zutreffend. Sie durfte deshalb das flüssige Aufbaupräparat als Trinkware bezeichnen (angefochtenes Urteil E. 6.1). Ob diese in ihrer Konsistenz nun schnell oder "kaum fliesst", ist nicht massgebend. Es geht dabei lediglich um die Unterscheidung von festen und flüssigen Stoffen. Die Beschwerdegegnerin selber hat immer dargelegt, dass der Alkohol im Aufbaupräparat bei der "Verflüssigung" von Pflanzenhefe im Gärvorgang entstehe.</w:t>
      </w:r>
    </w:p>
    <w:p>
      <w:r>
        <w:rPr>
          <w:b/>
        </w:rPr>
        <w:t>E. 4.7</w:t>
      </w:r>
    </w:p>
    <w:p>
      <w:r>
        <w:t>Die Vorinstanz durfte somit ohne Bundesrecht zu verletzen zum Schluss gelangen, das Aufbaupräparat sei mehrwertsteuerrechtlich als Trinkware und zwar - angesichts seines den Grenzwert von 0,5 Volumenprozenten übersteigenden Alkoholgehalts - als alkoholisches Getränk zu qualifizieren (angefochtenes Urteil E. 6.1).</w:t>
      </w:r>
    </w:p>
    <w:p>
      <w:r>
        <w:rPr>
          <w:b/>
        </w:rPr>
        <w:t>E. 5.1</w:t>
      </w:r>
    </w:p>
    <w:p>
      <w:r>
        <w:t>Die Vorinstanz ist in Anwendung des Grundsatzes von Treu und Glauben zum Schluss gelangt, die Beschwerdegegnerin habe davon ausgehen dürfen, das Aufbaupräparat sei zum reduzierten Mehrwertsteuersatz zu versteuern.</w:t>
      </w:r>
    </w:p>
    <w:p>
      <w:r>
        <w:rPr>
          <w:b/>
        </w:rPr>
        <w:t>E. 5.2</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131 II 627 E. 6.1 S. 636 f.; Urteil 1C_242/2007 vom 11. Juni 2008 E. 3.3.1 S. 637).</w:t>
      </w:r>
    </w:p>
    <w:p>
      <w:r>
        <w:t>Als Folge der Bedeutung des Legalitätsprinzips im Abgaberecht ist der Vertrauensschutz in diesem Bereich jedoch praxisgemäss nur mit Zurückhaltung zu gewähren ( BGE 131 II 627 E. 6.1).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(Urteil 2A.261/2001 vom 29. Oktober 2001 E. 2d/cc).</w:t>
      </w:r>
    </w:p>
    <w:p>
      <w:r>
        <w:rPr>
          <w:b/>
        </w:rPr>
        <w:t>E. 5.3</w:t>
      </w:r>
    </w:p>
    <w:p>
      <w:r>
        <w:t>Die Beschwerdeführerin beanstandet, die Vorinstanz habe aus ihren auf dem Schreiben der Beschwerdegegnerin vom 17. Mai 1994 handschriftlich angebrachten Notizen die falschen Schlüsse gezogen und sei somit von einem falschen Inhalt des Telefongesprächs vom 25. Mai 1994 ausgegangen.</w:t>
      </w:r>
    </w:p>
    <w:p>
      <w:r>
        <w:rPr>
          <w:b/>
        </w:rPr>
        <w:t>E. 5.4</w:t>
      </w:r>
    </w:p>
    <w:p>
      <w:r>
        <w:t>Die Beschwerdegegnerin ersuchte die Beschwerdeführerin am 2. März 1994, ihr zu bestätigen, dass das beim Bundesamt für Gesundheit als Speziallebensmittel registrierte Aufbaupräparat (flüssig und Tabletten) sowie zwei weitere als Heilmittel registrierte Produkte zum Mehrwertsteuersatz von 2 % besteuert würden. Die Beschwerdeführerin antwortete mit Schreiben vom 16. März 1994, die Umschreibung der dem reduzierten Mehrwertsteuersatz unterliegenden Medikamente sei noch offen; es sei aber "schon heute davon auszugehen, dass Präparate, die zum Einnehmen bestimmt sind und nicht mehr als 0,7 Vol % Alkohol enthalten, als Ess- oder Trinkwaren zum Satz von 2 % besteuert werden".</w:t>
      </w:r>
    </w:p>
    <w:p>
      <w:r>
        <w:t>Die Beschwerdegegnerin wandte sich in der Folge mit einem weiteren Schreiben vom 17. Mai 1994 mit detaillierten Fragen und Feststellungen an die Eidgenössische Steuerverwaltung. Dabei wies sie darauf hin, dass ihr Aufbaupräparat seit 20 Jahren beim Bundesamt für Gesundheit als Speziallebensmittel registriert sei. Zur Herstellung des Produktes werde Pflanzenhefe plasmolysiert, d.h. im Gärvorgang verflüssigt. Bei diesem Prozess entstünden ca. 2 Gew.% Alkohol; es werde jedoch kein Alkohol beigegeben. Vom Bundesamt werde das Aufbaupräparat als alkoholfreies Speziallebensmittel eingereiht, da die Alkoholmenge in der Einzeldosis äusserst gering sei. Man werde daher das flüssige Aufbaupräparat als Lebensmittel zu 2 % abrechnen; zum gleichen Satz würden die Aufbauhefetabletten - die Alternative zum flüssigen Aufbaupräparat - abgerechnet.</w:t>
      </w:r>
    </w:p>
    <w:p>
      <w:r>
        <w:t>Dieses Schreiben wurde von der Verwaltung nicht schriftlich, sondern vom zuständigen Sachbearbeiter am 25. Mai 1994 telefonisch beantwortet.</w:t>
      </w:r>
    </w:p>
    <w:p>
      <w:r>
        <w:rPr>
          <w:b/>
        </w:rPr>
        <w:t>E. 5.5</w:t>
      </w:r>
    </w:p>
    <w:p>
      <w:r>
        <w:t>Nach Auffassung der Vorinstanz zeigen die auf dem Schreiben vom zuständigen Sachbearbeiter der Beschwerdeführerin angebrachten Handnotizen, dass dieser die telefonische Auskunft am 25. Mai 1994 erteilt habe und Gegenstand der Auskunft der Mehrwertsteuersatz für das "Aufbauprodukt flüssig" gewesen sei. Es ergebe sich weiter, dass die Auskunft dahingehend gelautet habe, das "Aufbauprodukt flüssig" sei zum reduzierten Mehrwertsteuersatz (von seinerzeit 2 % für Lebensmittel) zu versteuern.</w:t>
      </w:r>
    </w:p>
    <w:p>
      <w:r>
        <w:rPr>
          <w:b/>
        </w:rPr>
        <w:t>E. 5.6</w:t>
      </w:r>
    </w:p>
    <w:p>
      <w:r>
        <w:t>Diese Auslegung der Notizen und die daraus gezogenen Schlüsse können nicht als unhaltbar bezeichnet werden. Die Beweiswürdigung der Vorinstanz wird im Besonderen dadurch gestützt, dass im massgebenden Schreiben darauf hingewiesen wird, das flüssige Aufbaupräparat werde ebenfalls unter der Bezeichnung "E.________ Aufbaumittel" für alle Tiere verkauft, hier als Alternative in Form von Granulat; die "obigen Erklärungen" gälten auch für dieses Produkt. Auch hier werde man beide Produkte zum Satz von 2 % abrechnen. Hier findet sich am Rand der Vermerk "i.O.". Derselbe Vermerk findet sich beim Hinweis auf die Hefetabletten.</w:t>
      </w:r>
    </w:p>
    <w:p>
      <w:r>
        <w:t>Die Würdigung der Vorinstanz erscheint auch deshalb als zumindest haltbar, weil die Beschwerdeführerin die in der Folge zum reduzierten Satz vorgenommene Deklaration nie beanstandet hat; dies, obwohl sie - falls sie anderer Auffassung gewesen wäre - dazu allen Anlass gehabt hätte. Im März 1999 führte die Beschwerdeführerin sogar im Betrieb der Beschwerdegegnerin eine Kontrolle der Steuerperioden 1995 bis 1998 durch. Wie sich aus ihrem Bericht vom 10. März 1999 ergibt, fand dabei die Besteuerung des X._________-Aufbaupräparates (flüssig und als Tabletten) und des E.________ Aufbaumittels zum Steuersatz von 2 % ausdrücklich Erwähnung, wurde jedoch nicht beanstandet.</w:t>
      </w:r>
    </w:p>
    <w:p>
      <w:r>
        <w:t>Wäre die Beschwerdeführerin tatsächlich davon ausgegangen, dass das Aufbauprodukt auf Grund seines Alkoholgehaltes dem normalen Mehrwertsteuersatz unterlag und ihre Auskunft entsprechend ausgefallen ist, hätte von ihr erwartet werden dürfen, dass sie dies der Beschwerdegegnerin spätestens nach Einreichung der gegebenenfalls unzutreffenden Deklarationen unverzüglich - unter Bezugnahme auf das Schreiben der Beschwerdegegnerin vom 17. Mai 1994 und ihre damalige telefonische Auskunft - schriftlich mitgeteilt hätte.</w:t>
      </w:r>
    </w:p>
    <w:p>
      <w:r>
        <w:rPr>
          <w:b/>
        </w:rPr>
        <w:t>E. 5.7</w:t>
      </w:r>
    </w:p>
    <w:p>
      <w:r>
        <w:t>Gestützt darauf durfte die Vorinstanz ohne Willkür schliessen, aufgrund der Tatsache, dass das Präparat im Sinne der Lebensmittelgesetzgebung - trotz des Alkoholgehaltes - als Speziallebensmittel galt, habe die Beschwerdegegnerin davon ausgehen dürfen, dass es auch im Mehrwertsteuerrecht nicht als alkoholisches Getränk eingestuft würde, denn die Unrichtigkeit der Auskunft sei für die Beschwerdegegnerin nicht "ohne weiteres" erkennbar gewesen.</w:t>
      </w:r>
    </w:p>
    <w:p>
      <w:r>
        <w:rPr>
          <w:b/>
        </w:rPr>
        <w:t>E. 5.8</w:t>
      </w:r>
    </w:p>
    <w:p>
      <w:r>
        <w:t>Auch die übrigen Voraussetzungen für eine Berufung auf den Grundsatz von Treu und Glauben hat die Vorinstanz als erfüllt betrachtet; es kann insoweit auf ihre zutreffenden Ausführungen verwiesen werden (angefochtenes Urteil E. 6.2).</w:t>
      </w:r>
    </w:p>
    <w:p>
      <w:r>
        <w:rPr>
          <w:b/>
        </w:rPr>
        <w:t>E. 6</w:t>
      </w:r>
    </w:p>
    <w:p>
      <w:r>
        <w:t>Die Beschwerde ist aus diesen Gründen abzuweisen. Bei diesem Ausgang hat die Beschwerdeführerin die Kosten des Verfahrens vor Bundesgericht zu tragen ( Art. 66 BGG ) und die Beschwerdegegnerin für dieses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