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828/2016 vom 17. Juli 2017</w:t>
      </w:r>
    </w:p>
    <w:p>
      <w:r>
        <w:t>Bundesgericht, 2017-07-17, DE</w:t>
      </w:r>
    </w:p>
    <w:p>
      <w:r>
        <w:rPr>
          <w:b/>
        </w:rPr>
        <w:t xml:space="preserve">Quelle: </w:t>
      </w:r>
      <w:r>
        <w:t>https://mcp.opencaselaw.ch/entscheid/bger_2C_828_2016</w:t>
      </w:r>
    </w:p>
    <w:p>
      <w:r>
        <w:t>FR: TF 2C 828/2016 du 17 juillet 2017</w:t>
      </w:r>
    </w:p>
    <w:p>
      <w:r>
        <w:t>IT: TF 2C 828/2016 del 17 luglio 2017</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w:t>
      </w:r>
    </w:p>
    <w:p>
      <w:r>
        <w:t>Der Beschwerdeführer ist kroatischer Staatsbürger. Mit Inkrafttreten des Protokolls III am 1. Januar 2017 wurde das Abkommen zwischen der Schweizerischen Eidgenossenschaft einerseits und der Europäischen Gemeinschaft und ihren Mitgliedstaaten andererseits über die Freizügigkeit vom 21. Juni 1999 (Freizügigkeitsabkommen; FZA; SR 0.142.112.681) auf Kroatien ausgedehnt (AS 2016 5233). Ob der Beschwerdeführer Aufenthaltsansprüche aus dem FZA ableiten kann, braucht vorliegend jedoch nicht geklärt zu werden, da - wie nachfolgend dargelegt - auch bei Zugrundelegung des FZA der angefochtene Entscheid nicht zu beanstanden ist (vgl. Urteil 2C_1032/2016 vom 9. Mai 2017 E. 4.).</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in der bis am 30. September 2016 geltenden, vorliegend noch massgeblichen Fassung; BGE 139 I 31 E. 2.1 S. 32). Der genannte Widerrufsgrund gilt auch bei Niederlassungsbewilligungen ausländischer Personen, die sich seit mehr als 15 Jahren ununterbrochen und ordnungsgemäss in der Schweiz aufhalten (Art. 63 Abs. 2 AuG). Er bildet zudem Voraussetzung für den Widerruf von EU/EFTA-Niederlassungsbewilligungen (vgl. Art. 2 Abs. 2 AuG; Art. 5 und 23 Abs. 2 der Verordnung vom 22. Mai 2002 über die Einführung des freien Personenverkehrs [VEP; SR 142.203]), wobei zusätzlich jedoch die Vorgaben von Art. 5 Abs. 1 Anhang I FZA zu beachten sind. Nach der an die Praxis des EuGH angeglichenen Rechtsprechung des Bundesgerichts setzen Entfernungs- oder Fernhaltemassnahmen in diesem Zusammenhang eine hinreichend schwere und gegenwärtige Gefährdung der öffentlichen Ordnung durch den betreffenden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Anhang I FZA steht Massnahmen entgegen, die (allein) aus generalpräventiven Gründen verfügt werden (vgl. BGE 130 II 176 E. 3.4 S. 182 ff.; BGE 129 II 215 E. 7 S. 221 ff.; je mit Hinweisen).</w:t>
      </w:r>
    </w:p>
    <w:p>
      <w:r>
        <w:rPr>
          <w:b/>
        </w:rPr>
        <w:t>E. 3.2</w:t>
      </w:r>
    </w:p>
    <w:p>
      <w:r>
        <w:t>Art. 5 Abs. 1 Anhang I FZA setzt für die Beschränkung des Aufenthaltsrechts eine tatsächliche und hinreichend schwere Gefährdung voraus, welche ein Grundinteresse der Gesellschaft berührt ( BGE 139 II 121 E. 5.3 S. 126; 136 II 5 E. 4.2 S. 20; 130 II 176 E. 3.4.1 S. 182; Urteil 2C_403/2014 vom 2. Juli 2015 E. 2.3). Ohne weiteres vermögen strafrechtliche Verurteilungen die Einschränkung von Rechten, welche das Freizügigkeitsabkommen einräumt, demnach nicht zu rechtfertigen (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 BGE 139 II 121 E. 5.3 S. 126; 136 II 5 E. 4.2 S. 20; 130 II 176 E. 3.4.2 S. 184; Urteil des EuGH 1977 C-30/77 Bouchereau , Slg. 1977, 1999 Rn. 27-30). Im Rahmen von Art. 5 Abs. 1 Anhang I FZA kommt es folglich wesentlich auf die Prognose des künftigen Wohlverhaltens an ( BGE 139 II 121 E. 5.3 S. 126; 136 II 5 E. 4.2 S. 20; 130 II 176 E. 4.2 S. 185), wobei eine nach Art und Ausmass der möglichen Rechtsgüterverletzung zu differenzierende hinreichende Wahrscheinlichkeit, dass der Ausländer künftig die öffentliche Sicherheit und Ordnung stören wird, verlangt ist ( BGE 139 II 121 E. 5.3 S. 126; 136 II 5 E. 4.2 S. 20; 130 II 176 E. 4.3.1 S. 186). Ein geringes, aber tatsächlich vorhandenes Rückfallrisiko kann für eine aufenthaltsbeendende Massnahme im Sinne von Art. 5 Abs. 1 Anhang I FZA demnach genügen, sofern dieses Risiko eine schwere Verletzung hoher Rechtsgüter wie z.B. die körperliche Unversehrtheit beschlägt (vgl. Urteil 2C_236/2013 vom 19. August 2013 E. 6.4, mit Hinweisen). Betäubungsmittelhandel stellt rechtsprechungsgemäss eine schwere Gefährdung der öffentlichen Ordnung im Sinne von Art. 5 Anhang I FZA dar; angesichts der grossen sozialen und wirtschaftlichen Gefahr, welche vom organisierten Drogenhandel ausgeht, können Betäubungsmitteldelikte eine Wegweisung im Bereich der Freizügigkeitsrechte rechtfertigen (Urteil 2C_1103/2015 vom 21. Dezember 2016 E. 4.3.1; vgl. auch Urteil des EuGH vom 23. November 2010 C-145/09 Tsakouridis , Slg. 2010 I-11979 Randnr. 46 f.).</w:t>
      </w:r>
    </w:p>
    <w:p>
      <w:r>
        <w:rPr>
          <w:b/>
        </w:rPr>
        <w:t>E. 3.3</w:t>
      </w:r>
    </w:p>
    <w:p>
      <w:r>
        <w:t>Setzte der Ausländer einen Widerrufsgrund gemäss Art. 63 Abs. 1 lit. a i.V.m. Art. 62 lit. b AuG und stellt er nach den dargelegten Grundsätzen eine hinreichend schwere und gegenwärtige Gefährdung der öffentlichen Ordnung, Sicherheit oder Gesundheit im Sinne von Art. 5 Anhang I FZA dar, ist schliesslich die Verhältnismässigkeit eines Widerrufs der Niederlassungsbewilligung zu prüfen ( Art. 5 Abs. 2 BV ; Art. 96 Abs. 1 AuG).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aus Gründen der Verhältnismässigkeit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Bei schweren Straftaten und bei Rückfall bzw. wiederholter Delinquenz besteht regelmässig ein wesentliches öffentliches Interesse daran, die Anwesenheit eines Ausländers zu beenden, der die Sicherheit und Ordnung in dieser Art beeinträchtigt (vgl. BGE 139 I 145 E. 2.4 und 2.5; das Urteil 2C_903/2010 vom 6. Juni 2011 E. 3.1, nicht publ. in BGE 137 II 233 ; BGE 130 II 176 E. 4.4.2 S. 190).</w:t>
      </w:r>
    </w:p>
    <w:p>
      <w:r>
        <w:rPr>
          <w:b/>
        </w:rPr>
        <w:t>E. 4</w:t>
      </w:r>
    </w:p>
    <w:p>
      <w:r>
        <w:t>Der Beschwerdeführer beanstandet die Interessenabwägung sowie die Verhältnismässigkeitsprüfung durch die Vorinstanz, welche Art. 5 Abs. 2 BV und Art. 96 AuG verletze. Die Vorinstanz sei fälschlicherweise von einem schweren ausländerrechtlichen Verschulden ausgegangen und habe ihm eine ungünstige Prognose gestellt. Sie habe in Verletzung von Bundesrecht den generalpräventiven Gesichtspunkten Vorrang gegeben und zu Unrecht ein erhebliches öffentliches Interesse am Widerruf der Niederlassungsbewilligung angenommen.</w:t>
      </w:r>
    </w:p>
    <w:p>
      <w:r>
        <w:rPr>
          <w:b/>
        </w:rPr>
        <w:t>E. 4.1</w:t>
      </w:r>
    </w:p>
    <w:p>
      <w:r>
        <w:t>Ausgangspunkt für das migrationsrechtliche Verschulden ist die vom Strafgericht ausgesprochene Strafe ( BGE 134 II 10 E. 4.2 S. 23; 129 II 215 E. 3.1 S. 216). Der Beschwerdeführer verkaufte im Zeitraum vom Juli 2011 bis 9. Juli 2012 insgesamt rund 420 bis 500 Gramm Kokain an verschiedene Drittabnehmer. Das Kreisgericht See-Gaster sprach in diesem Zusammenhang am 4. April 2013 eine Freiheitsstrafe von 36 Monaten aus, wovon 12 Monate vollziehbar und 24 Monate mit einer Probezeit von 2 Jahren aufgeschoben wurden. Dadurch setzte der Beschwerdeführer einen Widerrufsgrund im Sinne der obengenannten Bestimmungen. Das Verschulden des Beschwerdeführers erachtete das Kreisgericht als schwer; der Beschwerdeführer habe als nichtsüchtiger Händler aus rein finanziellen Beweggründen gehandelt. Der Beschwerdeführer bestreitet, dass er weder Einsicht noch Reue in sein Verhalten gezeigt habe. Vielmehr sei er in den Kokainhandel eingestiegen, weil er seinem Bruder habe helfen wollen und dessen Kreditschulden bei den Russen habe zurückzahlen wollen. Bereits das Kreisgericht See-Gaster wertete dieses Motiv als reine Schutzbehauptung des Beschwerdeführers und er legt nicht dar, inwiefern die verbindliche Sachverhaltsfeststellung der Vorinstanz in dieser Hinsicht willkürlich sein sollte. Unter diesen Umständen durfte die Vorinstanz sein migrationsrechtliches Verschulden als schwer bezeichnen.</w:t>
      </w:r>
    </w:p>
    <w:p>
      <w:r>
        <w:rPr>
          <w:b/>
        </w:rPr>
        <w:t>E. 4.2</w:t>
      </w:r>
    </w:p>
    <w:p>
      <w:r>
        <w:t>Sein Verhalten nach der Verurteilung, die zum Widerruf der Niederlassungsbewilligung führte, spricht ebenfalls nicht zu seinen Gunsten. So wurde er während des laufenden Verfahrens erneut mehrfach straffällig und auch im Strafvollzug musste er verwarnt werden. In Anbetracht dieser Umstände sowie der Art und Schwere der begangenen Betäubungsmitteldelikte ist von einer hinreichend schweren und auch gegenwärtigen Gefährdung der öffentlichen Sicherheit und einem nicht unerheblichen Rückfallrisiko auszugehen. Folglich steht Art. 5 Abs. 1 Anhang I FZA dem Widerruf der Niederlassungsbewilligung nicht entgegen, soweit diese Bestimmung überhaupt anwendbar ist (vgl. E. 2); er erfolgt nicht alleine gestützt auf generalpräventive Überlegungen.</w:t>
      </w:r>
    </w:p>
    <w:p>
      <w:r>
        <w:rPr>
          <w:b/>
        </w:rPr>
        <w:t>E. 4.3</w:t>
      </w:r>
    </w:p>
    <w:p>
      <w:r>
        <w:t>Entgegen den Ausführungen des Beschwerdeführers hat das Verwaltungsgericht die widerstreitenden Interessen sorgfältig gewichtet, in vertretbarer Weise gegeneinander abgewogen und den Widerruf der Niederlassungsbewilligung des Beschwerdeführers zu Recht als verhältnismässig bezeichnet. Der 46-jährige Beschwerdeführer lebt seit 29 Jahren in der Schweiz und ist gemäss eigenen Angaben gut integriert. Die Dauer seines Aufenthalts fällt bei der Verhältnismässigkeitsprüfung zwar zu seinen Gunsten ins Gewicht (vgl. BGE 130 II 281 E. 3.2.1; Urteil 2C_512/2013 vom 17. Februar 2014 E. 3.1 f. mit Hinweisen), doch ist er hier schwer und wiederholt straffällig geworden. Die Vorinstanz stellte verbindlich fest, dass weder wirtschaftlich noch sozial eine gelungene und stabile Integration vorliegt. Die angeführte Bekanntschaft des Beschwerdeführers zu seinem Freund und Tennispartner belegt er nicht weiter, sodass er in dieser Hinsicht auch keine Ansprüche gestützt auf Art. 8 Abs. 1 EMRK geltend machen kann. Der Entzug der Niederlassungsbewilligung trifft den Beschwerdeführer als langjährig anwesenden Ausländer zweifellos schwer. Die Ausreise ins EU-Land Kroatien kann ihm, der ledig und ohne Kinder ist, indessen zugemutet werden. Er lebte bis zu seinem 18. Lebensjahr in Bosnien und Herzegowina, welches wie Kroatien Teil der ehemaligen Volksrepublik Jugoslawien war, und ist mit der heimatlichen Kultur vertraut. Er beherrscht die kroatische Sprache und hat sich gemäss verbindlicher Sachverhaltsfeststellung der Vorinstanz 2015 während längerer Zeit in Kroatien aufgehalten. Seine Mutter lebt ebenfalls dort und kann ihn bei der Integration zusätzlich unterstützen.</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