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824/2020 vom 6. Oktober 2020</w:t>
      </w:r>
    </w:p>
    <w:p>
      <w:r>
        <w:t>Bundesgericht, 2020-10-06, FR</w:t>
      </w:r>
    </w:p>
    <w:p>
      <w:r>
        <w:rPr>
          <w:b/>
        </w:rPr>
        <w:t xml:space="preserve">Quelle: </w:t>
      </w:r>
      <w:r>
        <w:t>https://mcp.opencaselaw.ch/entscheid/bger_2C_824_2020</w:t>
      </w:r>
    </w:p>
    <w:p>
      <w:r>
        <w:t>FR: TF 2C 824/2020 du 6 octobre 2020</w:t>
      </w:r>
    </w:p>
    <w:p>
      <w:r>
        <w:t>IT: TF 2C 824/2020 del 6 ottobre 2020</w:t>
      </w:r>
    </w:p>
    <w:p>
      <w:pPr>
        <w:pStyle w:val="Heading2"/>
      </w:pPr>
      <w:r>
        <w:t>Regeste</w:t>
      </w:r>
    </w:p>
    <w:p>
      <w:r>
        <w:t>Impôts cantonal et communal et impôt fédéral direct; période fiscale 2017 | Finances publiques &amp; droit fiscal</w:t>
      </w:r>
    </w:p>
    <w:p>
      <w:pPr>
        <w:pStyle w:val="Heading2"/>
      </w:pPr>
      <w:r>
        <w:t>Erwägungen</w:t>
      </w:r>
    </w:p>
    <w:p>
      <w:r>
        <w:rPr>
          <w:b/>
        </w:rPr>
        <w:t>E. 1</w:t>
      </w:r>
    </w:p>
    <w:p>
      <w:r>
        <w:t>Par arrêt du 8 septembre 2020, la Cour de droit administratif et public du Tribunal cantonal du canton de Vaud (ci-après: le Tribunal cantonal) a rejeté un recours que A.________ avait interjeté à l'encontre d'une décision sur réclamation du 10 décembre 2019 de l'Administration cantonale des impôts du canton de Vaud (ci-après: l'Administration cantonale) déclarant irrecevable car tardive une réclamation formée contre une décision du 23 octobre 2018 de l'Office d'impôt compétant taxant l'intéressé d'office en raison de l'absence de dépôt d'une déclaration, malgré une sommation.</w:t>
      </w:r>
    </w:p>
    <w:p>
      <w:r>
        <w:rPr>
          <w:b/>
        </w:rPr>
        <w:t>E. 2</w:t>
      </w:r>
    </w:p>
    <w:p>
      <w:r>
        <w:t>Par recours du 3 octobre 2020, A.________ demande au Tribunal fédéral, outre l'assistance judiciaire, de constater qu'en raison de son état de santé, il était dans l'impossibilité d'agir par lui-même ou de charger une tierce personne d'agir en son nom.</w:t>
      </w:r>
    </w:p>
    <w:p>
      <w:r>
        <w:rPr>
          <w:b/>
        </w:rPr>
        <w:t>E. 3.1</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En outre, 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3.2</w:t>
      </w:r>
    </w:p>
    <w:p>
      <w:r>
        <w:t>En l'occurrence, l'autorité précédente a expliqué que la réclamation de l'intéressé avait été déposée tardivement, ce que reconnaissait d'ailleurs celui-ci. Elle a ensuite considéré que la motivation contre une décision de taxation d'office devait remplir les obligations légales des art. 132 al. 3 LIFD (RS 642.11) et 186 al. 2 de la loi vaudoise du 4 juillet 2000 sur les impôts directs cantonaux (LI/VD; BLV 642.11) et qu'il appartenait donc au contribuable de produire des moyens de preuve (cf. ATF 131 II 548 consid. 2.3 p. 551). Le Tribunal cantonal a finalement constaté que le contribuable tentait certes d'invoquer un empêchement non fautif et de demander la restitution du délai de réclamation. Il a néanmoins jugé que l'intéressé n'avait pas réussi à établir avoir été empêché sans sa faute d'agir dans le délai, relevant en particulier que l'institution dans laquelle celui-ci avait été suivi pour ses problèmes de santé ne proposait que de courts séjours "avec un retour à domicile" et que rien ne démontrait une absence de discernement.</w:t>
      </w:r>
    </w:p>
    <w:p>
      <w:r>
        <w:rPr>
          <w:b/>
        </w:rPr>
        <w:t>E. 3.3</w:t>
      </w:r>
    </w:p>
    <w:p>
      <w:r>
        <w:t>Dans son recours au Tribunal fédéral, le recourant se limite à reconnaître que le document médical remis au Tribunal cantonal ne se prononce pas sur son état de santé, mais ne fait que préciser la durée du séjour en institution. Le recourant ne s'en prend ainsi aucunement à la motivation de l'arrêt cantonal, se limitant en définitive à contester les faits et présenter de manière totalement appellatoire ses propres vision et appréciation à leur propos et à les opposer à celles du Tribunal cantonal.</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Le recours étant d'emblée dénué de chances de succès, la demande d'assistance judiciaire est rejetée (cf. art. 64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