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2C_822/2013 vom 25. Januar 2014</w:t>
      </w:r>
    </w:p>
    <w:p>
      <w:r>
        <w:t>Bundesgericht, 2014-01-25, FR</w:t>
      </w:r>
    </w:p>
    <w:p>
      <w:r>
        <w:rPr>
          <w:b/>
        </w:rPr>
        <w:t xml:space="preserve">Quelle: </w:t>
      </w:r>
      <w:r>
        <w:t>https://mcp.opencaselaw.ch/entscheid/bger_2C_822_2013</w:t>
      </w:r>
    </w:p>
    <w:p>
      <w:r>
        <w:t>FR: TF 2C_822/2013 du 25 janvier 2014</w:t>
      </w:r>
    </w:p>
    <w:p>
      <w:r>
        <w:t>IT: TF 2C_822/2013 del 25 gennaio 2014</w:t>
      </w:r>
    </w:p>
    <w:p>
      <w:pPr>
        <w:pStyle w:val="Heading2"/>
      </w:pPr>
      <w:r>
        <w:t>Erwägungen</w:t>
      </w:r>
    </w:p>
    <w:p>
      <w:r>
        <w:rPr>
          <w:b/>
        </w:rPr>
        <w:t>E. 1</w:t>
      </w:r>
    </w:p>
    <w:p>
      <w:r>
        <w:t>Le Tribunal fédéral examine d'office sa compétence ( art. 29 al. 1 LTF ). Il contrôle donc librement la recevabilité des recours qui lui sont soumis ( ATF 139 III 133 consid. 1 p. 133).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1.2</w:t>
      </w:r>
    </w:p>
    <w:p>
      <w:r>
        <w:t>En principe, le conjoint d'un ressortissant de la Communauté européenne ayant un droit de séjour en Suisse dispose, en vertu des art. 7 let . d de l'Accord du 21 juin 1999 entre la Confédération suisse, d'une part, et la Communauté européenne et ses Etats membres, d'autre part, sur la libre circulation des personnes (ALCP; RS 0.142.112.681) et 3 § 1 et 2 annexe I ALCP , d'un droit à une autorisation de séjour en Suisse pendant la durée formelle de son mariage. En l'espèce, le divorce du recourant avec une double nationale suisse et allemande a été prononcé le 12 septembre 2012, de sorte que les conditions de son séjour en Suisse sont régies uniquement par la LEtr.</w:t>
      </w:r>
    </w:p>
    <w:p>
      <w:r>
        <w:rPr>
          <w:b/>
        </w:rPr>
        <w:t>E. 1.3</w:t>
      </w:r>
    </w:p>
    <w:p>
      <w:r>
        <w:t>En l'occurrence, la question principale à trancher est de savoir si le recourant réunit les conditions de l'art. 50 LEtr dont il se prévaut. L'union conjugale qu'a formé le recourant avec son ex-épouse ayant duré moins de trois ans, l'art. 50 al. 1 let. a LEtr ne lui confère aucun droit. Il n'est en revanche pas exclu que le recourant puisse invoquer l'art. 50 al. 1 let. b LEtr, qui confère au conjoint étranger dont la famille est dissoute, le droit à une autorisation de séjour " si la poursuite du séjour en Suisse s'impose pour des raisons personnelles majeures ", indépendamment de la durée de la communauté conjugale. En pareilles circonstances, il convient d'admettre un droit, sous l'angle de l' art. 83 let . c ch. 2 LTF, permettant au recourant de former un recours en matière de droit public. Le point de savoir si c'est à juste titre que les juges cantonaux ont nié l'existence de raisons personnelles majeures au sens de l'art. 50 al. 1 let. b LEtr ressortit au fond et non à la recevabilité (cf. ATF 137 I 305 consid. 2.5 p. 315; arrêt 2C_546/2013 du 13 décembre 2013 consid. 1.1.2).</w:t>
      </w:r>
    </w:p>
    <w:p>
      <w:r>
        <w:rPr>
          <w:b/>
        </w:rPr>
        <w:t>E. 1.4</w:t>
      </w:r>
    </w:p>
    <w:p>
      <w:r>
        <w:t>Pour le surplus, le recours est dirigé contre une décision finale ( art. 90 LTF ) rendue par une autorité judiciaire cantonale supérieure de dernière instance ( art. 86 al. 1 let . d et al. 2 LTF); il a été déposé en temps utile ( art. 100 al. 1 LTF ) et dans les formes requises ( art. 42 LTF ) par le recourant qui a qualité pour recourir ( art. 89 al. 1 LTF ). Le recours en matière de droit public est par conséquent recevable, ce qui entraîne l'irrecevabilité du recours constitutionnel subsidiaire ( art. 113 LTF a contrario).</w:t>
      </w:r>
    </w:p>
    <w:p>
      <w:r>
        <w:rPr>
          <w:b/>
        </w:rPr>
        <w:t>E. 2</w:t>
      </w:r>
    </w:p>
    <w:p>
      <w:r>
        <w:t>Le recours en matière de droit public peut notamment être formé pour violation du droit fédéral ( art. 95 let. a LTF ), y compris les droits constitutionnels ( art. 95 let. b LTF ). Il doit être motivé ( art. 42 al. 1 LTF ), et sa motivation doit exposer succinctement en quoi l'acte attaqué viole le droit ( art. 42 al. 2 LTF ). Selon l' art. 106 al. 2 LTF en outre,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136 II 304 consid. 2.5 p. 314; 135 II 243 consid. 2 p. 248).</w:t>
      </w:r>
    </w:p>
    <w:p>
      <w:r>
        <w:t>Par conséquent, la Cour de céans n'examinera pas les griefs d'ordre constitutionnel que le recourant a invoqués de manière confuse et non suffisamment motivée. Il en va en particulier ainsi des griefs concernant la violation du principe de la proportionnalité, de l'égalité de traitement et de l'interdiction des discriminations. Le recourant se limite en effet à invoquer les art. 5 al. 2 et 8 Cst. , sans indiquer concrètement en quoi ces dispositions seraient spécifiquement violées. Un tel procédé ne répond pas aux exigences de motivation accrues déduites de l' art. 106 al. 2 LTF . De même, il n'y a pas lieu d'examiner les griefs de la violation du principe de la bonne foi et de l'équité que le recourant invoque sans autre précision.</w:t>
      </w:r>
    </w:p>
    <w:p>
      <w:r>
        <w:rPr>
          <w:b/>
        </w:rPr>
        <w:t>E. 3</w:t>
      </w:r>
    </w:p>
    <w:p>
      <w:r>
        <w:t>Dans un grief d'ordre formel qu'il convient d'examiner en premier lieu, le recourant se prévaut d'une violation de son droit d'être entendu au sens de l' art. 29 al. 2 Cst.</w:t>
      </w:r>
    </w:p>
    <w:p>
      <w:r>
        <w:rPr>
          <w:b/>
        </w:rPr>
        <w:t>E. 3.1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 Le droit d'être entendu implique aussi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138 I 232 consid. 5.1 p. 237; 136 I 184 consid. 2.2.1 p. 188; arrêt 2C_330/2013 du 10 septembre 2013 consid. 3.1).</w:t>
      </w:r>
    </w:p>
    <w:p>
      <w:r>
        <w:rPr>
          <w:b/>
        </w:rPr>
        <w:t>E. 3.2</w:t>
      </w:r>
    </w:p>
    <w:p>
      <w:r>
        <w:t>Le recourant se plaint de ce que l'instance précédente n'aurait pas statué sur sa demande de production du dossier de l'Office cantonal. Il y voit une violation de son droit d'être entendu. Devant la Cour de justice, le recourant a demandé la production de l'entier de son dossier détenu par l'Office cantonal, ainsi que du dossier constitué par le TAPI. La requête du recourant partait du constat que le dossier du TAPI ne contenait pas " la correspondance abondante que l'épouse [avait] adressée auparavant à l'Office cantonal pour exiger l'acceptation de son mariage, initialement refusé par ladite autorité " (mémoire de recours, p. 27). Selon le recourant, le TAPI aurait ainsi rendu son jugement sur la base d'un dossier incomplet. L'arrêt attaqué est muet sur la demande de production formulée par le recourant. Il en ressort toutefois, de manière implicite mais suffisante, que la Cour de justice a rejeté la demande du recourant dans la mesure où, avec les documents sollicités, celui-ci entendait démontrer la réalité de son mariage. Le refus de prolonger l'autorisation de séjour se fonde cependant exclusivement sur l'art. 50 al. 1 let. b LEtr. Or, dans ce contexte, il importe peu de déterminer si le mariage du recourant est dénué de substance. Seul est pertinent le point de savoir si celui-ci peut se prévaloir de raisons personnelles majeures pour obtenir une prolongation de son autorisation de séjour. Il s'ensuit que la production du dossier de l'Office cantonal n'était pas pertinente pour l'issue du litige. Le grief soulevé est dès lors mal fondé.</w:t>
      </w:r>
    </w:p>
    <w:p>
      <w:r>
        <w:rPr>
          <w:b/>
        </w:rPr>
        <w:t>E. 3.3</w:t>
      </w:r>
    </w:p>
    <w:p>
      <w:r>
        <w:t>Le recourant reproche ensuite à la Cour de justice d'avoir violé son droit d'être entendu et, par là même, commis un déni de justice, en ne procédant pas à l'audition de témoins qu'il avait requise. Ce grief tombe à faux. Dès lors qu'elle n'avait pas à instruire la réalité du mariage entre le recourant et B.________ (cf. supra consid. 3.2), l'instance précédente n'était pas tenue d'entendre les proches du couple. L'offre de preuve du recourant n'était donc pas pertinente, de sorte que la juridiction cantonale n'a pas procédé à une appréciation anticipée des preuves arbitraire ni, par conséquent, commis un déni de justice, en renonçant à entendre les témoins dont le recourant sollicitait l'audition.</w:t>
      </w:r>
    </w:p>
    <w:p>
      <w:r>
        <w:rPr>
          <w:b/>
        </w:rPr>
        <w:t>E. 3.4</w:t>
      </w:r>
    </w:p>
    <w:p>
      <w:r>
        <w:t>Toujours sous couvert de la violation du droit d'être entendu, le recourant semble reprocher à la Cour de justice de ne pas avoir suspendu la cause dans l'attente de l'issue de la procédure pénale. Le recourant ne démontre toutefois pas en quoi l'instance précédente aurait arbitrairement appliqué le droit de procédure cantonal. Quoi qu'il en soit, comme l'a relevé à juste titre l'instance précédente, le résultat de la procédure pénale est sans pertinence pour le sort du litige. Sur le plan pénal, le recourant a été condamné pour avoir trompé les autorités en contractant un mariage de complaisance dans le but d'obtenir une autorisation de séjour de la part de l'Office cantonal. Or, comme déjà indiqué (cf. supra consid. 3.2), seul est pertinent le point de savoir si le recourant peut se prévaloir de raisons personnelles majeures pour obtenir une prolongation de son autorisation de séjour. Il n'y avait donc aucun motif de suspendre la procédure cantonale.</w:t>
      </w:r>
    </w:p>
    <w:p>
      <w:r>
        <w:rPr>
          <w:b/>
        </w:rPr>
        <w:t>E. 3.5</w:t>
      </w:r>
    </w:p>
    <w:p>
      <w:r>
        <w:t>Au regard de ce qui précède, les griefs relatifs à la violation du droit d'être entendu sont mal fondés.</w:t>
      </w:r>
    </w:p>
    <w:p>
      <w:r>
        <w:rPr>
          <w:b/>
        </w:rPr>
        <w:t>E. 4</w:t>
      </w:r>
    </w:p>
    <w:p>
      <w:r>
        <w:t>Le recourant estime que la constatation des faits par l'instance précédente est manifestement inexacte au sens de l' art. 97 al. 1 LTF .</w:t>
      </w:r>
    </w:p>
    <w:p>
      <w:r>
        <w:rPr>
          <w:b/>
        </w:rPr>
        <w:t>E. 4.1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w:t>
      </w:r>
    </w:p>
    <w:p>
      <w:r>
        <w:rPr>
          <w:b/>
        </w:rPr>
        <w:t>E. 4.2</w:t>
      </w:r>
    </w:p>
    <w:p>
      <w:r>
        <w:t>Le recourant reproche à l'instance précédente d'avoir mis en doute le fait qu'il avait fait opposition à l'ordonnance pénale prononcée à son encontre le 21 mai 2013. On peut déjà douter de la recevabilité de ce grief dans la mesure où le recourant ne fait pas valoir qu'une rectification de l'état de fait dans le sens qu'il propose serait de nature à influer sur le sort de la cause. Quoi qu'il en soit, le grief est de toute façon mal fondé. Dans la mesure où la procédure pénale porte sur la question du mariage de complaisance (cf. supra consid. 3.4), le point de savoir si le recourant a ou non fait opposition à l'ordonnance du procureur n'est pas déterminant pour l'issue du litige. Dans ces conditions, on ne peut reprocher à la Cour de justice d'être tombée dans l'arbitraire en constatant que l'opposition du recourant ne reposait sur aucune preuve. Pour la suite du raisonnement, le Tribunal fédéral se fondera donc exclusivement sur les faits établis par la Cour de justice.</w:t>
      </w:r>
    </w:p>
    <w:p>
      <w:r>
        <w:rPr>
          <w:b/>
        </w:rPr>
        <w:t>E. 5</w:t>
      </w:r>
    </w:p>
    <w:p>
      <w:r>
        <w:t>Le recourant reproche à la Cour de justice de n'avoir pas retenu, en application de l'art. 50 LEtr, des raisons personnelles majeures qui permettraient la poursuite de son séjour en Suisse. Il considère qu'en rendant l'arrêt entrepris, l'instance précédente a commis un abus de son pouvoir d'appréciation.</w:t>
      </w:r>
    </w:p>
    <w:p>
      <w:r>
        <w:rPr>
          <w:b/>
        </w:rPr>
        <w:t>E. 5.1</w:t>
      </w:r>
    </w:p>
    <w:p>
      <w:r>
        <w:t>A juste titre, le recourant ne fonde pas son recours sur l'art. 50 al. 1 let. a LEtr (cum art. 42 LEtr), dès lors qu'il est établi que son union conjugale avec une ressortissante suisse a duré moins de trois ans (cf. supra consid. 1.3). Il convient en revanche d'examiner dans quelle mesure la poursuite du séjour du recourant en Suisse s'impose pour des raisons personnelles majeures au sens de l'art. 50 al. 1 let. b LEtr; le grief tiré de l'interdiction de l'arbitraire que le recourant invoque en lien avec l'art. 50 al. 1 let. b LEtr et qui se confond ici avec la violation alléguée de cette disposition de droit fédéral, n'a pas de portée propre.</w:t>
      </w:r>
    </w:p>
    <w:p>
      <w:r>
        <w:rPr>
          <w:b/>
        </w:rPr>
        <w:t>E. 5.2</w:t>
      </w:r>
    </w:p>
    <w:p>
      <w:r>
        <w:t>Comme on l'a vu (cf. supra consid. 1.3), l'art. 50 al. 1 let. b LEtr permet au conjoint étranger de demeurer en Suisse après la dissolution de l'union conjugale, lorsque la poursuite de son séjour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(cf. ATF 138 II 393 consid. 3 p. 394 ss et les références citées). Les critères énumérés par l' art. 31 al. 1 OASA peuvent également entrer en ligne de compte, même si, considérés individuellement, ils ne suffisent pas à fonder un cas de rigueur ( ATF 137 II 345 consid. 3.2.3 p. 349; THOMAS HUGI YAR, Von Trennungen, Härtefällen und Delikten, Annuaire du droit de la migration 2012/2013, p. 78 s.).</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w:t>
      </w:r>
    </w:p>
    <w:p>
      <w:r>
        <w:t>Quant à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137 II 345 consid. 3.2.2 p. 349).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2C_1188/2012 du 17 avril 2013 consid. 4.1).</w:t>
      </w:r>
    </w:p>
    <w:p>
      <w:r>
        <w:rPr>
          <w:b/>
        </w:rPr>
        <w:t>E. 5.3</w:t>
      </w:r>
    </w:p>
    <w:p>
      <w:r>
        <w:t>En l'espèce, la Cour de justice a retenu que le recourant, qui est arrivé en Suisse à l'âge de 32 ans, avait passé la plus grande partie de son existence en Tunisie. Il parle en outre la langue et connaît les us et coutumes de son pays d'origine, où vit une partie de sa famille qu'il était retourné voir trois fois en 2010, trois fois en 2011 et en 2012.</w:t>
      </w:r>
    </w:p>
    <w:p>
      <w:r>
        <w:t>Le recourant reproche à la Cour de justice de n'avoir pas tenu compte de la violence psychologique qu'il aurait subie de la part de B.________. Il prétend avoir " fait l'objet d'un chantage et d'un abus manifeste de droit de la part de son ex-épouse " (mémoire de recours, p. 32). Il soutient en particulier que celle-ci l'aurait empêché de pratiquer ses rites religieux et qu'elle l'aurait forcé à consulter un psychologue. Outre que ces éléments n'ont pas été établis par l'instance précédente, ils ne revêtent pas le degré d'intensité requis par la jurisprudence pour constituer une forme de violence conjugale suffisante sous l'angle de l'art. 50 al. 1 let. b LEtr. Aucun autre élément ne vient confirmer l'existence de raisons personnelles majeures. Le recourant ne soutient ni ne motive qu'un retour dans son pays d'origine générerait pour lui des conséquences insupportables. Il se contente sur ce point de renvoyer à son recours devant la juridiction cantonale. Un tel procédé n'est cependant pas admissible au regard de l' art. 42 al. 2 LTF ( ATF 131 III 384 consid. 2.3 p. 387 s.; arrêt 2C_973/2012 du 4 octobre 2013 consid. 3; cf. supra consid. 2).</w:t>
      </w:r>
    </w:p>
    <w:p>
      <w:r>
        <w:t>Le recourant se prévaut de l' art. 31 al. 1 OASA . La Cour de justice a toutefois pris en compte tous les éléments pertinents pour l'application de la norme invoquée, notamment la durée de son séjour en Suisse, sa situation familiale et les possibilités de réintégration dans l'Etat de provenance. Le recourant indique certes avoir perdu toutes ses économies dans " l'intérêt du couple " (mémoire de recours, p. 23). Cet élément, qui du reste n'est pas déterminant, n'a pas été établi par l'autorité précédente, de sorte qu'il ne peut être pris en considération par le Tribunal de céans (cf. supra consid. 4.1). Tout porte donc à croire que le recourant entend demeurer en Suisse, parce que les conditions de vie y sont plus aisées, mais rien n'indique qu'une réinsertion en Tunisie comporterait, pour lui, des obstacles insurmontables. Dans ces conditions, il n'existe pas de raisons personnelles majeures qui permettraient au recourant d'obtenir le renouvellement de son autorisation de séjour sur la base de l'art. 50 al. 1 let. b LEtr.</w:t>
      </w:r>
    </w:p>
    <w:p>
      <w:r>
        <w:rPr>
          <w:b/>
        </w:rPr>
        <w:t>E. 5.4</w:t>
      </w:r>
    </w:p>
    <w:p>
      <w:r>
        <w:t>Il s'ensuit que la Cour de justice n'a pas violé le droit fédéral, ni abusé de son pouvoir d'appréciation, en retenant que le recourant ne pouvait se prévaloir de l'art. 50 al. 1 let. b et al. 2 LEtr. Le grief tiré de la violation de l'art. 50 LEtr est dès lors mal fondé.</w:t>
      </w:r>
    </w:p>
    <w:p>
      <w:r>
        <w:rPr>
          <w:b/>
        </w:rPr>
        <w:t>E. 6</w:t>
      </w:r>
    </w:p>
    <w:p>
      <w:r>
        <w:t>Le recourant invoque enfin une violation de sa liberté religieuse garantie à l' art. 15 Cst.</w:t>
      </w:r>
    </w:p>
    <w:p>
      <w:r>
        <w:rPr>
          <w:b/>
        </w:rPr>
        <w:t>E. 6.1</w:t>
      </w:r>
    </w:p>
    <w:p>
      <w:r>
        <w:t>Aux termes de l' art. 15 al. 2 Cst. , toute personne a le droit de choisir librement sa religion ainsi que de se forger ses convictions philosophiques et de les professer individuellement ou en communauté. Cet alinéa consacre la liberté de culte, c'est-à-dire le droit, pour toute personne d'avoir sa propre conviction religieuse, de professer une croyance particulière, de s'exprimer par la parole, l'écriture, l'image, la musique, le film ou toutes autres formes, d'accomplir seul ou en communauté, des actes culturels et de former librement des associations religieuses (arrêt 2P.152/2005 du 25 octobre 2005 consid. 2).</w:t>
      </w:r>
    </w:p>
    <w:p>
      <w:r>
        <w:rPr>
          <w:b/>
        </w:rPr>
        <w:t>E. 6.2</w:t>
      </w:r>
    </w:p>
    <w:p>
      <w:r>
        <w:t>Le recourant considère que le comportement de B.________, en ce qu'elle empêchait son mari de pratiquer ses rites religieux, constitue une " ingérence grave dans sa vie " (mémoire de recours, p. 28). Ce grief tombe à faux. L'application - sinon immédiate, du moins indirecte - des règles constitutionnelles aux relations entre les particuliers n'est certes pas exclue, s'agissant notamment de l'interprétation des clauses générales et des notions juridiques indéterminées du droit privé ( ATF 111 II 245 consid. 4b avec de nombreuses références; arrêt 4A_265/2011 du 8 juillet 2011 consid. 3.2.1). Cependant, la reconnaissance de cet effet "horizontal" des droits fondamentaux (Dritt- und Horizontalwirkung) n'empêche pas que les rapports entre les particuliers relèvent directement des seules lois civiles et pénales. C'est donc par elles que l'individu est protégé contre les atteintes que d'autres sujets de droit privé pourraient porter à ses droits constitutionnels. En conséquence, le recourant ne saurait directement se pré-valoir de la garantie constitutionnelle de la liberté religieuse.</w:t>
      </w:r>
    </w:p>
    <w:p>
      <w:r>
        <w:rPr>
          <w:b/>
        </w:rPr>
        <w:t>E. 7</w:t>
      </w:r>
    </w:p>
    <w:p>
      <w:r>
        <w:t>Compte tenu de ce qui précède, le recours constitutionnel subsidiaire doit être déclaré irrecevable et le recours en matière de droit public rejeté dans la mesure de sa recevabilité.</w:t>
      </w:r>
    </w:p>
    <w:p>
      <w:r>
        <w:t>Comme le recours était d'emblée dénué de chances de succès, la requête d'assistance judiciaire doit être rejetée ( art. 64 al. 1 LTF ). 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