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2C_820/2020 vom 2. November 2020</w:t>
      </w:r>
    </w:p>
    <w:p>
      <w:r>
        <w:t>Bundesgericht, 2020-11-02, IT</w:t>
      </w:r>
    </w:p>
    <w:p>
      <w:r>
        <w:rPr>
          <w:b/>
        </w:rPr>
        <w:t xml:space="preserve">Quelle: </w:t>
      </w:r>
      <w:r>
        <w:t>https://mcp.opencaselaw.ch/entscheid/bger_2C_820_2020</w:t>
      </w:r>
    </w:p>
    <w:p>
      <w:r>
        <w:t>FR: TF 2C_820/2020 du 2 novembre 2020</w:t>
      </w:r>
    </w:p>
    <w:p>
      <w:r>
        <w:t>IT: TF 2C_820/2020 del 2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priva d'oggetto.</w:t>
      </w:r>
    </w:p>
    <w:p>
      <w:r>
        <w:rPr>
          <w:b/>
        </w:rPr>
        <w:t>E. 3</w:t>
      </w:r>
    </w:p>
    <w:p>
      <w:r>
        <w:t>Non si prelevano spese giudiziarie né si assegnano ripetibili per la sede federale.</w:t>
      </w:r>
    </w:p>
    <w:p>
      <w:r>
        <w:rPr>
          <w:b/>
        </w:rPr>
        <w:t>E. 4</w:t>
      </w:r>
    </w:p>
    <w:p>
      <w:r>
        <w:t>Comunicazione al ricorrente, al curatore avv. Pascal Cattaneo, al Mediatore per le radiotelevisioni private in lingua italiana, Avv. Francesco Galli, e all'Autorità indipendente di ricorso in materia radiotelevisiva AIRR.</w:t>
      </w:r>
    </w:p>
    <w:p>
      <w:r>
        <w:t>Losanna, 2 novembre 2020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Seiler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