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820/2008 vom 23. April 2009</w:t>
      </w:r>
    </w:p>
    <w:p>
      <w:r>
        <w:t>Bundesgericht, 2009-04-23, FR</w:t>
      </w:r>
    </w:p>
    <w:p>
      <w:r>
        <w:rPr>
          <w:b/>
        </w:rPr>
        <w:t xml:space="preserve">Quelle: </w:t>
      </w:r>
      <w:r>
        <w:t>https://mcp.opencaselaw.ch/entscheid/bger_2C_820_2008</w:t>
      </w:r>
    </w:p>
    <w:p>
      <w:r>
        <w:t>FR: TF 2C 820/2008 du 23 avril 2009</w:t>
      </w:r>
    </w:p>
    <w:p>
      <w:r>
        <w:t>IT: TF 2C 820/2008 del 23 aprile 2009</w:t>
      </w:r>
    </w:p>
    <w:p>
      <w:pPr>
        <w:pStyle w:val="Heading2"/>
      </w:pPr>
      <w:r>
        <w:t>Regeste</w:t>
      </w:r>
    </w:p>
    <w:p>
      <w:r>
        <w:t>Impôt cantonal et communal 2002 | Finances publiques &amp; droit fiscal</w:t>
      </w:r>
    </w:p>
    <w:p>
      <w:pPr>
        <w:pStyle w:val="Heading2"/>
      </w:pPr>
      <w:r>
        <w:t>Erwägungen</w:t>
      </w:r>
    </w:p>
    <w:p>
      <w:r>
        <w:rPr>
          <w:b/>
        </w:rPr>
        <w:t>E. 1</w:t>
      </w:r>
    </w:p>
    <w:p>
      <w:r>
        <w:t>Le recours est dirigé contre un arrêt final ( art. 90 LTF ) rendu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La recourante étant destinataire de l'arrêt attaqué, elle a qualité pour recourir ( art. 89 LTF ).</w:t>
      </w:r>
    </w:p>
    <w:p>
      <w:r>
        <w:rPr>
          <w:b/>
        </w:rPr>
        <w:t>E. 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D'après l' art. 106 al. 2 LTF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3</w:t>
      </w:r>
    </w:p>
    <w:p>
      <w:r>
        <w:t>Le litige porte sur l'estimation fiscale, au titre de l'impôt sur la fortune des personnes physiques de l'année 2002, d'un immeuble appartenant à la recourante.</w:t>
      </w:r>
    </w:p>
    <w:p>
      <w:r>
        <w:rPr>
          <w:b/>
        </w:rPr>
        <w:t>E. 3.1</w:t>
      </w:r>
    </w:p>
    <w:p>
      <w:r>
        <w:t>Réglé aux art. 13 et 14 LHID , l'impôt sur la fortune des personnes physiques a pour objet l'ensemble de la fortune nette ( art. 13 al. 1 LHID ) qui se détermine selon les règles d'évaluation prévues à l' art. 14 LHID . Selon l' art. 14 al. 1 LHID , la fortune est estimée à la valeur vénale. Toutefois, la valeur de rendement peut être prise en considération de façon appropriée. La loi sur l'harmonisation fiscale ne prescrit pas au législateur cantonal une méthode d'évaluation précise pour déterminer cette valeur. Les cantons disposent donc en la matière d'une marge de manoeuvre im- portante pour élaborer et appliquer leur réglementation, aussi bien dans le choix de la méthode de calcul applicable que pour déterminer, vu le caractère potestatif de l'art. 14 al. 1, 2ème phrase, LHID, dans quelle mesure le rendement doit être pris en considération dans l'estimation. Il faut cependant préciser qu'à l'exception des immeubles affectés à l'agriculture ou à la sylviculture (cf. art. 14 al. 2 LHID ), l'évaluation ne saurait se faire à l'aune du seul critère du rendement, sans prise en compte de la valeur vénale du bien considéré. Par ailleurs, la valeur de rendement ne peut, le cas échéant, être prise en considération que de manière appropriée; elle ne saurait justifier n'importe quel écart avec la valeur vénale.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(cf. ATF 134 II 207 consid. 3.6 p. 214; 131 I 291 consid. 3.2.2 p. 307 s.; 128 I 240 consid. 3.2.3 et 3.2.4 p. 249 s.; 124 I 145 consid. 6b et 6c p. 159 s.).</w:t>
      </w:r>
    </w:p>
    <w:p>
      <w:r>
        <w:rPr>
          <w:b/>
        </w:rPr>
        <w:t>E. 3.2</w:t>
      </w:r>
    </w:p>
    <w:p>
      <w:r>
        <w:t>Le canton de Genève a concrétisé ces principes dans la loi sur l'imposition des personnes physiques - Impôt sur la fortune (LIPP-III; RSGE D 3 13). L'art. 4 LIPP-III précise que la fortune mobilière et immobilière, établie au 31 décembre de l'année pour laquelle l'impôt est dû (al. 1), est en règle générale estimée à sa valeur vénale (al. 2), sous réserve - outre les marchandises (al. 4) - des biens immatériels et de la fortune mobilière (al. 3). Les immeubles situés dans le canton sont estimés d'après l'art. 7 LIPP-III dont la teneur est la suivante: "Art. 7 Immeubles I. Principe d'estimation; II. Expertises L'évaluation des immeubles situés dans le canton est faite d'après les principes suivants: a)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b) les immeubles servant exclusivement et directement à l'exploitation d'un commerce ou d'une industrie sont évalués en tenant compte de la valeur actuelle du terrain, des constructions et des installations qui en sont les accessoires; c) les immeubles servant à l'exploitation agricole et sylvicole y compris la partie de logement nécessaire au propriétaire et à sa familles ont évalués à leur valeur de rendement calculée selon le droit fédéral; d) les terrains improductifs ou à bâtir sont estimés en tenant compte de leur situation, des servitudes ou autres charges foncières les grevant, de prix d'achats récents ou d'attributions ensuite de succession ou de donation et des prix obtenus pour d'autres terrains de même nature qui se trouvent dans des conditions analogues, à l'exception des ventes effectuées à des prix de caractère spéculatif; e)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D'après l'art. 3 al. 1 du règlement d'application du 19 décembre 2001 de la loi sur l'imposition des personnes physiques - impôt sur la fortune, (RIPP-III; RSGE D 3 13.01), les taux de capitalisation applicables sont établis sur la base des transactions constatées sur le marché immobilier entre le 1er janvier de l'année précédent l'année fiscale et le 30 juin de l'année fiscale (sous réserve d'exceptions ne concernant pas le cas d'espèce; cf. art. 3 al. 2 RIPP-III). L'art. 4 RIPP-III fixe les taux ainsi déterminés a) pour les immeubles de logements dont l'âge est inférieur à 20 ans au 31 décembre ou à la fin de l'assujettissement; b) pour les immeubles de logements dont l'âge est égal ou supérieur à 20 ans au 31 décembre ou à la fin de l'assujettissement; c) pour les immeubles HBM, HLM, HCM, et HM; d) pour les immeubles commerciaux et autres immeubles locatifs. Pour l'année fiscale 2002, le taux de capitalisation des immeubles commerciaux et autres immeubles locatifs est de 6,67%.</w:t>
      </w:r>
    </w:p>
    <w:p>
      <w:r>
        <w:rPr>
          <w:b/>
        </w:rPr>
        <w:t>E. 3.3</w:t>
      </w:r>
    </w:p>
    <w:p>
      <w:r>
        <w:t>La règle spécifique prévue par le droit cantonal pour évaluer les immeubles locatifs s'insère dans le cadre défini - largement - par l' art. 14 al. 1 LHID : le principe de la capitalisation de l'état locatif inscrit à l'art. 7 let. a LIPP-III renvoie en effet à la valeur de rendement, tandis que la prise en considération, pour déterminer le taux de capitalisation applicable, des transactions constatées sur le marché ou de l'âge des logements (cf. art. 7 let. a LIPP-III en liaison avec l'art. 3 al. 1 et 4 let. a et b RIPP-III) se réfère à des critères qui relèvent plus particulièrement de la valeur vénale ( ATF 134 II 207 consid. 3.8 in fine p. 215 s.).</w:t>
      </w:r>
    </w:p>
    <w:p>
      <w:r>
        <w:rPr>
          <w:b/>
        </w:rPr>
        <w:t>E. 4</w:t>
      </w:r>
    </w:p>
    <w:p>
      <w:r>
        <w:t>Du moment que l' art. 14 al. 1 LHID laisse une grande marge d'appréciation aux cantons (cf. consid. 2 ci-dessus), les griefs de la recourante doivent remplir les exigences de motivation de l' art. 106 al. 2 LTF .</w:t>
      </w:r>
    </w:p>
    <w:p>
      <w:r>
        <w:rPr>
          <w:b/>
        </w:rPr>
        <w:t>E. 5.1</w:t>
      </w:r>
    </w:p>
    <w:p>
      <w:r>
        <w:t>La recourante soutient en premier lieu que la législation genevoise contrevient à la primauté du droit fédéral en prévoyant l'évaluation des immeubles locatifs par la capitalisation de leur rendement. Son grief se confond avec la violation du droit fédéral, puisque les dispositions des titres deuxième à sixième de la loi sur l'harmonisation fiscale sont directement applicables si les dispositions du droit fiscal cantonal s'en écartent ( art. 72 LHID ).</w:t>
      </w:r>
    </w:p>
    <w:p>
      <w:r>
        <w:rPr>
          <w:b/>
        </w:rPr>
        <w:t>E. 5.2</w:t>
      </w:r>
    </w:p>
    <w:p>
      <w:r>
        <w:t>Elle rappelle à bon droit que, d'après la jurisprudence relative à l' art. 14 al. 1 LHID , la valeur de l'immeuble ne saurait être évaluée à l'aune du seul critère du rendement, qui peut être pris en considération de manière appropriée, mais ne saurait justifier n'importe quel écart avec la valeur vénale. Elle perd cependant de vue que le taux de capitalisation des immeubles locatifs au sens de l'art. 7 lettre a LIPP-III est calculé, non pas de manière abstraite, mais en fonction des transactions réalisées durant une période donnée. Ce calcul prend en effet en considération les valeurs vénales constatées sur le marché immobilier ainsi que les rendements effectivement réalisés par chacun des immeubles ayant fait l'objet d'une transaction. Dans ces conditions, comme cela a déjà été jugé par le Tribunal fédéral ( ATF 134 II 207 consid. 3.8 in fine p. 215 s.), l'art. 7 let. a LIPP-III (en relation avec l'art. 3 al. 1 et 4 let. a et b RIPP-III) se réfère à des critères qui relèvent plus particulièrement de la valeur vénale, de sorte qu'il ne viole pas l' art. 14 al. 1 LHID .</w:t>
      </w:r>
    </w:p>
    <w:p>
      <w:r>
        <w:rPr>
          <w:b/>
        </w:rPr>
        <w:t>E. 6</w:t>
      </w:r>
    </w:p>
    <w:p>
      <w:r>
        <w:t>Invoquant l' art. 9 Cst. , la recourante soutient encore que le Tribunal administratif est tombé dans l'arbitraire en refusant de prendre en considération le taux de capitalisation ainsi que la valeur vénale réelle de l'immeuble en cause telle qu'elle a été arrêtée par l'expertise du 23 octobre 2003. D'une manière générale, il serait arbitraire de traiter de manière semblable immeubles de logement et parkings. Concrètement, le Tribunal administratif n'aurait ainsi pas tenu compte de la spécificité de l'immeuble en cause.</w:t>
      </w:r>
    </w:p>
    <w:p>
      <w:r>
        <w:rPr>
          <w:b/>
        </w:rPr>
        <w:t>E. 6.1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133 I 249 consid. 3.3 p. 254/255; 131 I 1 consid. 4.2 p. 6-7, 394 consid. 4.2 p. 399; 129 I 113 consid. 5.1 p. 125, 346 consid. 6 p. 357ss). L'inégalité de traitement apparaît ainsi comme une forme particulière d'arbitraire, consistant à traiter de manière inégale ce qui devrait l'être de manière semblable ou inversement ( ATF 129 I 1 consid. 3 p. 3, 346 consid. 6 p. 357ss; 127 I 185 consid. 5 p. 192; 125 I 1 consid. 2b/aa p. 4 et les références citées). En droit fiscal, l'égalité de traitement consacrée à l' art. 8 Cst. se concrétise par les principes de l'universalité et de l'égalité de l'imposition ainsi que par celui de l'imposition selon la capacité contributive ( art. 127 al. 2 Cst. ) Le Tribunal fédéral a, à plusieurs reprises, défini la portée de ces principes. Il a ainsi reconnu qu'il n'est pas réalisable, pour des raisons pratiques, de traiter chaque contribuable de façon exactement identique d'un point de vue mathématique et que, de ce fait, le législateur est autorisé à choisir des solutions schématiques. S'il n'est pas possible d'aboutir à une égalité absolue, il suffit que la réglementation n'aboutisse pas de façon générale à une charge sensiblement plus lourde ou à une inégalité systématique à l'égard de certaines catégories de contribuables (cf. ATF 128 I 240 consid. 2.3 p. 243 et la jurisprudence citée).</w:t>
      </w:r>
    </w:p>
    <w:p>
      <w:r>
        <w:rPr>
          <w:b/>
        </w:rPr>
        <w:t>E. 6.2</w:t>
      </w:r>
    </w:p>
    <w:p>
      <w:r>
        <w:t>En prenant en considération les valeurs vénales constatées sur le marché immobilier durant une période donnée ainsi que les états locatifs effectivement réalisés par chacun des immeubles ayant fait l'objet d'une transaction, le taux de capitalisation confirmé par le Tribunal administratif est certes schématique, en ce qu'il s'agit effectivement d'un taux moyen. Il reste toutefois admissible, du moment que, parmi les immeubles locatifs visés par l'art. 7 lettre a LIPP-III, l'art. 4 RIPP-III impose à la Commission paritaire de distinguer encore, pour calculer le taux de capitalisation, entre immeubles de logement ou à prépondérance de logement, immeubles administratifs, commerciaux, etc. et immeubles HLM, afin de tenir compte de leur spécificité.</w:t>
      </w:r>
    </w:p>
    <w:p>
      <w:r>
        <w:rPr>
          <w:b/>
        </w:rPr>
        <w:t>E. 6.3</w:t>
      </w:r>
    </w:p>
    <w:p>
      <w:r>
        <w:t>Concrètement, en l'espèce, le calcul du taux de capitalisation de 6,67%, appliqué au rendement de l'immeuble de la recourante, s'est fondé sur le total des prix des ventes constatés lors de l'aliénation de 39 immeubles administratifs et commerciaux entre le 1er janvier 2001 et le 30 juin 2002 - à l'exclusion par conséquent des immeubles de logement, à prépondérance de logement ou HLM - ainsi que sur les états locatifs respectifs desdits immeubles. Le total des ventes représentait 433'947'191 fr. et le total des état locatifs 28'934'318 fr. Ces données étant fondées sur des valeurs du marché effectivement constatées pour des objets comparables à celui de la recourante, elles ne sauraient être infirmées par une simple expertise de partie, à l'instar de celle dont se prévaut cette dernière.</w:t>
      </w:r>
    </w:p>
    <w:p>
      <w:r>
        <w:rPr>
          <w:b/>
        </w:rPr>
        <w:t>E. 6.4</w:t>
      </w:r>
    </w:p>
    <w:p>
      <w:r>
        <w:t>Dans ces conditions, le Tribunal administratif pouvait, sans violer l' art. 14 LHID ni tomber dans l'arbitraire, confirmer que la valeur de l'immeuble de la recourante devait être arrêtée à 10'361'259 fr.</w:t>
      </w:r>
    </w:p>
    <w:p>
      <w:r>
        <w:rPr>
          <w:b/>
        </w:rPr>
        <w:t>E. 7</w:t>
      </w:r>
    </w:p>
    <w:p>
      <w:r>
        <w:t>Les considérants qui précèdent conduisent au rejet du recours. 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