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819/2011 vom 20. April 2012</w:t>
      </w:r>
    </w:p>
    <w:p>
      <w:r>
        <w:t>Bundesgericht, 2012-04-20, FR</w:t>
      </w:r>
    </w:p>
    <w:p>
      <w:r>
        <w:rPr>
          <w:b/>
        </w:rPr>
        <w:t xml:space="preserve">Quelle: </w:t>
      </w:r>
      <w:r>
        <w:t>https://mcp.opencaselaw.ch/entscheid/bger_2C_819_2011</w:t>
      </w:r>
    </w:p>
    <w:p>
      <w:r>
        <w:t>FR: TF 2C 819/2011 du 20 avril 2012</w:t>
      </w:r>
    </w:p>
    <w:p>
      <w:r>
        <w:t>IT: TF 2C 819/2011 del 20 aprile 2012</w:t>
      </w:r>
    </w:p>
    <w:p>
      <w:pPr>
        <w:pStyle w:val="Heading2"/>
      </w:pPr>
      <w:r>
        <w:t>Regeste</w:t>
      </w:r>
    </w:p>
    <w:p>
      <w:r>
        <w:t>Impôt sur les gains immobiliers | Finances publiques &amp; droit fiscal</w:t>
      </w:r>
    </w:p>
    <w:p>
      <w:pPr>
        <w:pStyle w:val="Heading2"/>
      </w:pPr>
      <w:r>
        <w:t>Erwägungen</w:t>
      </w:r>
    </w:p>
    <w:p>
      <w:r>
        <w:rPr>
          <w:b/>
        </w:rPr>
        <w:t>E. 1</w:t>
      </w:r>
    </w:p>
    <w:p>
      <w:r>
        <w:t>Le recours est dirigé contre un arrêt final ( art. 90 LTF ) rendu dans une cause de droit public (art. 82 let. a de la loi du 17 juin 2005 sur le Tribunal fédéral (LTF; RS 173.110) par une autorité cantonale supérieure de dernière instance ( art. 86 al. 1 let . d et al. 2 LTF), sans qu'aucune des exceptions prévues à l' art. 83 LTF ne soit réalisée, de sorte que, sous réserve des exigences légales de motivation et des motifs exposés ci-dessous (consid. 2), la voie du recours en matière de droit public est en principe ouverte. La recourante étant destinataire de l'arrêt attaqué, elle a qualité pour recourir ( art. 89 LTF ).</w:t>
      </w:r>
    </w:p>
    <w:p>
      <w:r>
        <w:rPr>
          <w:b/>
        </w:rPr>
        <w:t>E. 2</w:t>
      </w:r>
    </w:p>
    <w:p>
      <w:r>
        <w:t>L'arrêt attaqué et les conclusions du recours ne concernent que les impôts cantonaux et communaux 2004. Selon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 D'après l' art. 106 al. 2 LTF en revanche, le Tribunal fédéral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Dans ces conditions,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3</w:t>
      </w:r>
    </w:p>
    <w:p>
      <w:r>
        <w:t>Le litige porte, en droit cantonal genevois, sur la qualification du bénéfice réalisé par la recourante à la suite de la vente des parcelles Nos 4791, 4792 et 4793 de la commune de D.________. Selon l'Administration fiscale cantonale, cette vente a généré un bénéfice commercial en capital provenant de l'exercice d'une activité lucrative indépendante imposable au titre du revenu. Pour sa part, la recourante soutient qu'elle n'a bénéficié que d'un gain privé en capital, exclusivement soumis à l'impôt sur les bénéfices et gains immobiliers.</w:t>
      </w:r>
    </w:p>
    <w:p>
      <w:r>
        <w:rPr>
          <w:b/>
        </w:rPr>
        <w:t>E. 3.1</w:t>
      </w:r>
    </w:p>
    <w:p>
      <w:r>
        <w:t>Selon l'art. 2 de la loi cantonale genevoise sur l'imposition des personnes physiques - Impôt sur le revenu (revenu imposable) du 22 septembre 2000 - (aLIPP - IV), en vigueur jusqu'au 31 décembre 2009 et applicable à la période fiscale 2004, sont imposables, au titre du produit de l'activité lucrative indépendante, les bénéfices en capital provenant de l'aliénation, de la réalisation, de la réévaluation comptable ou du transfert dans la fortune privée ou dans une entreprise ou un établissement stable à l'étranger d'éléments de la fortune commerciale. Cette disposition correspond à l'art. 8 al. 1 de la loi fédérale du 14 décembre 1990 sur l'harmonisation des impôts directs des cantons et des communes (LHID; RS 642.14), dont la teneur est similaire à l'art. 18 al. 2 de la loi fédérale du 12 décembre 1990 sur l'impôt fédéral direct (LIFD; RS 642.11). L'impôt sur les gains immobiliers est réglementé, en droit cantonal genevois, aux art. 80 ss de la loi générale du canton de Genève sur les contributions publiques du 9 novembre 1887 (LCP; RS/GE D 3 05) et, au plan fédéral, au chapitre 3 de la LHID. Selon l' art.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w:t>
      </w:r>
    </w:p>
    <w:p>
      <w:r>
        <w:rPr>
          <w:b/>
        </w:rPr>
        <w:t>E. 3.2</w:t>
      </w:r>
    </w:p>
    <w:p>
      <w:r>
        <w:t>Selon la jurisprudence, la distinction entre un gain privé en capital (non imposable sur le revenu) ou un bénéfice commercial en capital provenant de l'exercice d'une activité lucrative indépendante (imposable sur le revenu), dépend des circonstances concrètes du cas (cf. arrêts 2C_349/2009 du 16 novembre 2009 consid. 4.1.2; 2C_893/2008 du 10 août 2009 consid. 2.2).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(arrêts 2C_454/2011 et 2C_455/2011 du 5 avril 2012 consid. 5.1 et les références citées). Les éléments patrimoniaux utilisés pour l'accomplissement d'une activité lucrative indépendante sont pour leur part considérés comme des actifs commerciaux (cf. ATF 125 II 113 consid. 6c/bb p. 126 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(arrêt 2C_893/2008 du 10 août 2009 consid. 2.2).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(arrêts 2C_454/2011 et 2C_455/2011 du 5 avril 2012 consid. 5.1 et les références citées). En outre, l'absence d'éléments typiques d'une telle activité dans un cas concret peut être relativisée par d'autres circonstances revêtant une intensité particulière (cf. ATF 125 II 113 consid. 3c p. 118 et 6a p. 124; arrêt 2C_893/2008 du 10 août 2009 consid. 2.2). En tout état, les circonstances concrètes du cas sont déterminantes, telles qu'elles se présentent au moment de l'aliénation (arrêts 2C_454/2011 et 2C_455/2011 du 5 avril 2012 consid. 5.1 et les références citées).</w:t>
      </w:r>
    </w:p>
    <w:p>
      <w:r>
        <w:rPr>
          <w:b/>
        </w:rPr>
        <w:t>E. 3.3</w:t>
      </w:r>
    </w:p>
    <w:p>
      <w:r>
        <w:t>Dans le cas d'espèce, la Cour de justice a retenu que l'opération litigieuse avait été unique, qu'elle avait porté sur un immeuble dont la recourante avait été propriétaire pendant dix ans et que celle-ci ne disposait pas d'une formation technique ou professionnelle la prédestinant à une activité indépendante de professionnelle de l'immobilier. Elle a donc admis qu'au regard de ces critères, l'opération litigieuse relevait de l'administration de la fortune privée de l'intéressée. Pour le surplus, il ressort du dossier que la recourante n'a pas procédé de manière systématique, en vue de la réalisation rapide d'un bénéfice, notamment au travers de démarches publicitaires, visant à tirer profit de la conjoncture favorable du marché immobilier. L'immeuble en cause lui a été remis à titre d'avancement d'hoirie et elle n'a pas engagé personnellement de fonds étrangers en vue de la valorisation du terrain reçu à titre gratuit. En outre, la recourante n'a pas réinvesti le bénéfice réalisé au travers de la vente des parcelles litigieuses. Ces circonstances accréditent la thèse de la recourante selon laquelle on ne se trouve pas en présence d'un commerce professionnel d'immeubles relevant d'une activité lucrative indépendante. Il reste donc à déterminer si la constitution de la société simple entre la recourante et la société Y.________ SA, active dans le domaine de l'immobilier, dont la recourante est salariée et actionnaire, en vue de la valorisation des parcelles en cause et de leur vente suffit à conférer au bénéfice réalisé par la recourante la qualité de revenu provenant d'une activité indépendante. S'il est vrai que les liens unissant la recourante à la société dépassent le cadre du simple contrat de travail, il ne faut pas perdre de vue que la recourante, âgée de 32 ans en 2004, n'exerçait qu'une activité de secrétaire à mi-temps, pour un gain annuel brut de 19'045 francs. Elle n'était en outre titulaire que du 5 % du capital social de la société. La recourante n'exerçait donc aucun rôle dirigeant et, comme on l'a vu, ne disposait pas de connaissances spécifiques dans le commerce d'immeubles. En l'absence des compétences requises à cet effet, elle n'a joué aucun rôle actif dans l'acquisition par la société de la parcelle N° 1735 sise à D.________, de la réunion de celle-ci avec sa propre parcelle (N° 1733), du morcellement des surfaces ainsi réunies et de l'équipement des terrains en vue de leur vente. Elle a uniquement profité de la mise en valeur de sa parcelle par un tiers, certes versé dans les affaires immobilières, mais sans implication personnelle de sa part. Sa situation est comparable à celle de la contribuable ayant donné lieu à l'arrêt du Tribunal fédéral du 1er mars 2010 (causes 2C_403/2009 et 2C_404/2009 précitées) dans la mesure où elle n'a eu qu'un rôle secondaire dans le cadre d'une opération immobilière conçue et réalisée par un tiers, en dehors de tout procédé systématique et planifié de sa part. Il faut admettre, dans ces conditions, que l'implication limitée de la recourante dans la valorisation et la vente des parcelles litigieuses ne suffit pas à contrebalancer les autres éléments du dossier (opération unique, durée de la possession relativement longue, absence de connaissances techniques ou professionnelles spécifiques, d'engagement de fonds propres et de réinvestissement) permettant de considérer qu'elle n'a pas dépassé le cadre de l'administration courante de sa fortune privée.</w:t>
      </w:r>
    </w:p>
    <w:p>
      <w:r>
        <w:rPr>
          <w:b/>
        </w:rPr>
        <w:t>E. 4</w:t>
      </w:r>
    </w:p>
    <w:p>
      <w:r>
        <w:t>Il résulte de ce qui précède que le recours doit être admis et que l'arrêt de la Cour de justice du 30 août 2011 doit être annulé. La cause sera renvoyée à l'Administration fiscale cantonale pour une nouvelle taxation dans le sens des considérants. Vu l'issue du recours, le canton de Genève supportera les frais judiciaires ( art. 66 LTF ) et versera à la recourante une indemnité à titre de dépens pour la procédure fédérale ( art. 68 LTF ). Le Tribunal fédéral ne fera pas usage de la faculté prévue aux art. 67 et 68 al. 5 LTF et renverra la cause à l'autorité précédente pour qu'elle statue sur les frais et dépens de la procédure suivie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