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2C_814/2009 vom 6. April 2010</w:t>
      </w:r>
    </w:p>
    <w:p>
      <w:r>
        <w:t>Bundesgericht, 2010-04-06, DE</w:t>
      </w:r>
    </w:p>
    <w:p>
      <w:r>
        <w:rPr>
          <w:b/>
        </w:rPr>
        <w:t xml:space="preserve">Quelle: </w:t>
      </w:r>
      <w:r>
        <w:t>https://mcp.opencaselaw.ch/entscheid/bger_2C_814_2009</w:t>
      </w:r>
    </w:p>
    <w:p>
      <w:r>
        <w:t>FR: TF 2C_814/2009 du 6 avril 2010</w:t>
      </w:r>
    </w:p>
    <w:p>
      <w:r>
        <w:t>IT: TF 2C_814/2009 del 6 aprile 2010</w:t>
      </w:r>
    </w:p>
    <w:p>
      <w:pPr>
        <w:pStyle w:val="Heading2"/>
      </w:pPr>
      <w:r>
        <w:t>Erwägungen</w:t>
      </w:r>
    </w:p>
    <w:p>
      <w:r>
        <w:rPr>
          <w:b/>
        </w:rPr>
        <w:t>E. 1</w:t>
      </w:r>
    </w:p>
    <w:p>
      <w:r>
        <w:t>Beim angefochtenen Urteil handelt es sich um einen kantonal letztinstanzlichen Entscheid in Angelegenheiten des öffentlichen Rechts, der beim Bundesgericht angefochten werden kann ( Art. 82 und 86 Abs. 1 lit. d BGG ; Art. 146 DBG [SR 642.11]).</w:t>
      </w:r>
    </w:p>
    <w:p>
      <w:r>
        <w:rPr>
          <w:b/>
        </w:rPr>
        <w:t>E. 2.1</w:t>
      </w:r>
    </w:p>
    <w:p>
      <w:r>
        <w:t>Im Verfahren vor der Vorinstanz war streitig, ob die Beteiligung an der Y.________ Immobilien AG dem Geschäfts- oder dem Privatvermögen von Y.________ zuzuordnen ist. Die Vorinstanz hat zunächst erkannt, aufgrund der engen wirtschaftlichen Beziehung zwischen der selbständigen Erwerbstätigkeit von Y.________ als Liegenschaftenhändler und der Y.________ Immobilien AG sei die Beteiligung an dieser als Geschäftsvermögen von Y.________ zu betrachten. Dem stehe auch ein Schreiben des kantonalen Steueramts nicht entgegen, worin nicht erwähnt worden sei, dass auch die Aktien der Y.________ Immobilien AG Geschäftsvermögen darstellten. Hingegen könne der Gewinn eines Liegenschaftenhändlers, der durch den Wertzuwachs einer im Geschäftsvermögen gehaltenen Beteiligung erzielt wurde, nur insoweit mit der Einkommenssteuer erfasst werden, als dieser Wertzuwachs in den Zeitraum nach dem Zeitpunkt der Aufnahme der Erwerbstätigkeit bzw. des Liegenschaftenhandels falle. Die kantonale Steuerrekurskommission gehe indessen davon aus, dass nicht derjenige Zeitpunkt massgebend sei, in welchem Y.________ steuerlich als selbständig Erwerbender qualifiziert worden sei, sondern dass die Aktien bereits im Gründungszeitpunkt der Gesellschaft (1972) dem Geschäftsvermögen zugeordnet werden müssten, was willkürlich sei. Die Rekurskommission müsse daher im zweiten Rechtsgang frühestens auf den Wert abstellen, den die Beteiligung im Jahr 1979 gehabt hätte und den seither eingetretenen Wertzuwachs besteuern. Die Beschwerdeführerin habe der Rekurskommission die hierfür notwendigen Unterlagen einzureichen; erst wenn sich der damals massgebende Überführungswert auch nicht anhand der von der Pflichtigen einzureichenden Unterlagen belegen bzw. schätzen lasse, dürfe die Vorinstanz mangels anderweitiger Anhaltspunkte subsidiär auf die Anlagekosten abstellen. Die Sache sei daher zur weiteren Untersuchung und zum Neuentscheid an die Rekurskommission zurückzuweisen.</w:t>
      </w:r>
    </w:p>
    <w:p>
      <w:r>
        <w:rPr>
          <w:b/>
        </w:rPr>
        <w:t>E. 2.2</w:t>
      </w:r>
    </w:p>
    <w:p>
      <w:r>
        <w:t>Das Verwaltungsgericht hat in diesem Rückweisungsentscheid zwar für die Vorinstanzen abschliessend über einige materiellrechtliche Teilfragen, jedoch nicht über einzelne Rechtsbegehren entschieden. Damit schliesst der angefochtene Entscheid das Verfahren weder insgesamt noch über einzelne Rechtsbegehren ab, womit ein Zwischenentscheid vorliegt, mit welchem eine ergänzende Sachverhaltsabklärung verlangt wird. Diese erfordert eine Würdigung und Subsumtion des ergänzend festgestellten Sachverhalts (vgl. dazu Urteil 2C_258/2008 vom 27. März 2009 E. 3, publ. in: StE 2009 B 96.21 Nr. 14). Mithin fällt eine sofortige Anfechtung dieses Rückweisungsentscheides gemäss Art. 93 Abs. 1 BGG nur in Betracht, wenn dieser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2.3</w:t>
      </w:r>
    </w:p>
    <w:p>
      <w:r>
        <w:t>Das gemäss Rückweisungsentscheid vorzunehmende Beweisverfahren beschränkt sich darauf, von der Beschwerdeführerin die für die Feststellung des Wertes der Beteiligung im Jahr 1979 notwendigen Unterlagen einzuverlangen. Dies erfordert indessen kein weitläufiges Beweisverfahren, welches mit einem bedeutenden Aufwand an Zeit oder Kosten verbunden wäre. Damit fehlt es an den Voraussetzungen von Art. 93 Abs. 1 lit. b BGG , auf welche Norm sich die Beschwerdeführerin beruft.</w:t>
      </w:r>
    </w:p>
    <w:p>
      <w:r>
        <w:rPr>
          <w:b/>
        </w:rPr>
        <w:t>E. 3</w:t>
      </w:r>
    </w:p>
    <w:p>
      <w:r>
        <w:t>Auf die Beschwerde ist aus diesen Gründen nicht einzutreten.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