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2C_808/2019 vom 26. September 2019</w:t>
      </w:r>
    </w:p>
    <w:p>
      <w:r>
        <w:t>Bundesgericht, 2019-09-26, FR</w:t>
      </w:r>
    </w:p>
    <w:p>
      <w:r>
        <w:rPr>
          <w:b/>
        </w:rPr>
        <w:t xml:space="preserve">Quelle: </w:t>
      </w:r>
      <w:r>
        <w:t>https://mcp.opencaselaw.ch/entscheid/bger_2C_808_2019</w:t>
      </w:r>
    </w:p>
    <w:p>
      <w:r>
        <w:t>FR: TF 2C_808/2019 du 26 septembre 2019</w:t>
      </w:r>
    </w:p>
    <w:p>
      <w:r>
        <w:t>IT: TF 2C_808/2019 del 26 settembre 2019</w:t>
      </w:r>
    </w:p>
    <w:p>
      <w:pPr>
        <w:pStyle w:val="Heading2"/>
      </w:pPr>
      <w:r>
        <w:t>Erwägungen</w:t>
      </w:r>
    </w:p>
    <w:p>
      <w:r>
        <w:rPr>
          <w:b/>
        </w:rPr>
        <w:t>E. 1</w:t>
      </w:r>
    </w:p>
    <w:p>
      <w:r>
        <w:t>Par arrêt du 16 août 2019, le Tribunal cantonal du canton de Vaud a rejeté le recours que A.________, de nationalité égyptienne né en 1990, avait déposé contre la décision du 7 juin 2019 du Service de la population du canton de Vaud refusant de maintenir son autorisation de séjour parce que les conditions de l' art. 50 al. 1 let. b et al. 2 LEI (RS 142.20) n'étaient pas réunies. L'intéressé avait vécu en Suisse avec son épouse de nationalité suisse moins de trois ans et ne pouvait se prévaloir d'aucune raison personnelle majeure.</w:t>
      </w:r>
    </w:p>
    <w:p>
      <w:r>
        <w:rPr>
          <w:b/>
        </w:rPr>
        <w:t>E. 2</w:t>
      </w:r>
    </w:p>
    <w:p>
      <w:r>
        <w:t>Par courrier du 23 septembre 2019, B.________, compagne de A.________ a déposé un recours, que ce dernier a également signé, contre l'arrêt rendu le 16 août 2019 par le Tribunal cantonal du canton de Vaud. A.________ a également déposé un courrier manuscrit. Ces deux courriers décrivent la bonne intégration de A.________ en Suisse, sa relation avec B.________ et les filles de celle-ci ainsi que ses difficultés de santé.</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 recourant ne conteste pas que la vie commune en Suisse n'a pas duré trois ans. L' art. 50 al. 1 let. a LEI prévoit deux conditions cumulatives, ce qui signifie qu'une bonne intégration ne suffit pas à elle seule. Le recourant ne critique pas l'application de l'art. 50 al. 1 let. b et al. 2 par l'instance précédente. Il s'ensuit que les courriers rédigés par le recourant à l'attention du Tribunal fédéral n'exposent pas de manière suffisante, eu égard aux exigences de l' art. 42 al. 2 LTF , en quoi l'arrêt du 16 août 2019 et les motifs qu'il retient à l'appui de la confirmation de la décision de refus de maintenir l'autorisation de séjour violent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