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2C_802/2019 vom 25. September 2019</w:t>
      </w:r>
    </w:p>
    <w:p>
      <w:r>
        <w:t>Bundesgericht, 2019-09-25, IT</w:t>
      </w:r>
    </w:p>
    <w:p>
      <w:r>
        <w:rPr>
          <w:b/>
        </w:rPr>
        <w:t xml:space="preserve">Quelle: </w:t>
      </w:r>
      <w:r>
        <w:t>https://mcp.opencaselaw.ch/entscheid/bger_2C_802_2019</w:t>
      </w:r>
    </w:p>
    <w:p>
      <w:r>
        <w:t>FR: TF 2C_802/2019 du 25 septembre 2019</w:t>
      </w:r>
    </w:p>
    <w:p>
      <w:r>
        <w:t>IT: TF 2C_802/2019 del 25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144 II 184 consid. 1 pag. 186; 143 IV 85 consid. 1.1 pag. 87 e rinvii).</w:t>
      </w:r>
    </w:p>
    <w:p>
      <w:r>
        <w:rPr>
          <w:b/>
        </w:rPr>
        <w:t>E. 2.1</w:t>
      </w:r>
    </w:p>
    <w:p>
      <w:r>
        <w:t>Il ricorso concerne una causa di diritto pubblico che non ricade sotto nessuna delle eccezioni previste dall' art. 83 LTF ed è diretto contro una decisione finale resa in ultima istanza cantonale da un tribunale superiore (art. 86 cpv. 1 lett. d e cpv. 2 LTF). Esso è stato presentato nei termini dalla destinataria del giudizio contestato ( art. 100 cpv. 1 LTF ), con interesse al suo annullamento ( art. 89 cpv. 1 LTF ), ed è pertanto ammissibile quale ricorso in materia di diritto pubblico giusta l'art. 82 segg. LTF.</w:t>
      </w:r>
    </w:p>
    <w:p>
      <w:r>
        <w:rPr>
          <w:b/>
        </w:rPr>
        <w:t>E. 2.2</w:t>
      </w:r>
    </w:p>
    <w:p>
      <w:r>
        <w:t>Giusta l' art. 42 LTF il ricorso deve contenere le conclusioni, i motivi e l'indicazione dei mezzi di prova (cpv. 1) e dev'essere motivato in modo sufficiente, spiegando nei motivi perché l'atto impugnato viola il diritto (cpv. 2; DTF 134 II 244 consid. 2.1 pag. 245; 133 II 249 consid. 1.4.1 pag. 254). Il Tribunale federale esamina in linea di massima solo le censure sollevate; esso non è tenuto a vagliare, come lo farebbe un'autorità di prima istanza, tutte le questioni giuridiche che si pongono, se queste ultime non sono sollevate in sede federale ( DTF 134 II 244 consid. 2.1 pag. 245 seg.). In questa ottica, argomentazioni vaghe o meramente appellatorie o semplici rinvii agli atti cantonali non sono ammissibili ( DTF 143 IV 122 consid. 3.3 pag. 128; 142 III 364 consid. 2.4 pag. 368).</w:t>
      </w:r>
    </w:p>
    <w:p>
      <w:r>
        <w:rPr>
          <w:b/>
        </w:rPr>
        <w:t>E. 2.3</w:t>
      </w:r>
    </w:p>
    <w:p>
      <w:r>
        <w:t>Nella fattispecie, la ricorrente si limita a contestare, con qualche parola o delle brevi frasi, i considerandi della sentenza cantonale, senza tuttavia esporre in maniera sufficiente i motivi per i quali la pronuncia impugnata sarebbe contraria al diritto rispettivamente non si confronta nelle debite forme con i motivi che hanno indotto la Corte cantonale a rendere il giudizio querelato. Ella in particolare non censura la disattenzione della normativa applicata, ossia della legge federale del 16 dicembre 2005 sulla protezione degli animali (LPAn) e della relativa ordinanza (OPAn). Ora una simile argomentazione non rispetta le esigenze di motivazione poste dall' art. 42 cpv. 2 LTF , motivo per cui l'impugnativa sfugge ad un esame di merito.</w:t>
      </w:r>
    </w:p>
    <w:p>
      <w:r>
        <w:rPr>
          <w:b/>
        </w:rPr>
        <w:t>E. 3.1</w:t>
      </w:r>
    </w:p>
    <w:p>
      <w:r>
        <w:t>Premesse queste considerazioni il ricorso, che non contiene una motivazione topica riferita al tema della causa, si rivela quindi inammissibile e può essere deciso sulla base della procedura semplificata dell' art. 108 cpv. 1 lett. b LTF .</w:t>
      </w:r>
    </w:p>
    <w:p>
      <w:r>
        <w:rPr>
          <w:b/>
        </w:rPr>
        <w:t>E. 3.2</w:t>
      </w:r>
    </w:p>
    <w:p>
      <w:r>
        <w:t>Le spese giudiziarie seguono la soccombenza ( art. 66 cpv. 1 LTF 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