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2C_79/2010 vom 16. Juni 2010</w:t>
      </w:r>
    </w:p>
    <w:p>
      <w:r>
        <w:t>Bundesgericht, 2010-06-16, DE</w:t>
      </w:r>
    </w:p>
    <w:p>
      <w:r>
        <w:rPr>
          <w:b/>
        </w:rPr>
        <w:t xml:space="preserve">Quelle: </w:t>
      </w:r>
      <w:r>
        <w:t>https://mcp.opencaselaw.ch/entscheid/bger_2C_79_2010</w:t>
      </w:r>
    </w:p>
    <w:p>
      <w:r>
        <w:t>FR: TF 2C_79/2010 du 16 juin 2010</w:t>
      </w:r>
    </w:p>
    <w:p>
      <w:r>
        <w:t>IT: TF 2C_79/2010 del 16 giugno 2010</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lit. a BGG in Verbindung mit Art. 146 DBG [SR 642.11]). Auf die form- und fristgerecht eingereichte Beschwerde der gemäss Art. 89 Abs. 1 BGG legitimierten Beschwerdeführerin ist einzutreten.</w:t>
      </w:r>
    </w:p>
    <w:p>
      <w:r>
        <w:rPr>
          <w:b/>
        </w:rPr>
        <w:t>E. 1.2</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w:t>
      </w:r>
    </w:p>
    <w:p>
      <w:r>
        <w:t>Vorweg ist die Rüge einer Verletzung des rechtlichen Gehörs ( Art. 29 Abs. 2 BV bzw. Art. 18 Abs. 2 der Verfassung des Kantons Zürich vom 27. Februar 2005 [KV ZH; SR 131.211]) zu prüfen.</w:t>
      </w:r>
    </w:p>
    <w:p>
      <w:r>
        <w:rPr>
          <w:b/>
        </w:rPr>
        <w:t>E. 2.1</w:t>
      </w:r>
    </w:p>
    <w:p>
      <w:r>
        <w:t>Die Beschwerdeführerin beanstandet einerseits, die Vorinstanz gehe auf das "Ruling vom 30. November 2004" mit der Eidgenössischen Steuerverwaltung betreffend die 2004 erfolgte Fusion überhaupt nicht ein. Andererseits berücksichtige die Vorinstanz die Wertangaben zum Kundenstamm unter Berufung auf das Novenverbot nicht, was sich in Anbetracht der in der Beschwerdeschrift an die Steuerrekurskommission enthaltenen Vorbringen als unzutreffend erweise.</w:t>
      </w:r>
    </w:p>
    <w:p>
      <w:r>
        <w:rPr>
          <w:b/>
        </w:rPr>
        <w:t>E. 2.2</w:t>
      </w:r>
    </w:p>
    <w:p>
      <w:r>
        <w:t>Der Anspruch auf rechtliches Gehör im Sinne von Art. 29 Abs. 2 BV ist formeller Natur. Ist er verletzt worden, kann dies zur Aufhebung des angefochtenen Urteils führen, ohne dass die Angelegenheit materiell geprüft würde ( BGE 135 I 187 E. 2.2 S. 190). Es wird weder behauptet noch dargelegt, dass Art. 18 Abs. 2 KV ZH eine über Art. 29 Abs. 2 BV hinausgehende Tragweite hat, weshalb die Rüge ausschliesslich im Lichte von Art. 29 Abs. 2 BV geprüft werden kann (vgl. Urteil 2C_131/2009 vom 7. September 2009 E. 4.3).</w:t>
      </w:r>
    </w:p>
    <w:p>
      <w:r>
        <w:rPr>
          <w:b/>
        </w:rPr>
        <w:t>E. 2.3</w:t>
      </w:r>
    </w:p>
    <w:p>
      <w:r>
        <w:t>Aus dem Anspruch auf rechtliches Gehör nach Art. 29 Abs. 2 BV folgt die grundsätzliche Pflicht der Behörde, ihren Entscheid zu begründen. Dies bedeutet indessen nicht, dass sich die Behörde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f.; siehe auch Urteil 2C_255/2008 vom 16. Februar 2009 E. 2, in BGE 135 II 189 nicht wiedergegeben).</w:t>
      </w:r>
    </w:p>
    <w:p>
      <w:r>
        <w:rPr>
          <w:b/>
        </w:rPr>
        <w:t>E. 2.3.1</w:t>
      </w:r>
    </w:p>
    <w:p>
      <w:r>
        <w:t>Der Streit dreht sich zunächst um die Frage, ob die Beschwerdeführerin die Verluste der mittels Fusion übernommenen Z.________ AG mit ihren eigenen Gewinnen verrechnen kann. Dies ist nach Art. 67 Abs. 1 DBG grundsätzlich möglich (Kreisschreiben Nr. 5 der Eidgenössischen Steuerverwaltung vom 1. Juni 2004, Ziffer 4.1.2.2.4 sowie die bei PETER LOCHER, Kommentar zum DBG, II. Teil, 2004, Rz. 40 zu Art. 61 DBG angegebene Literatur und Judikatur). Anders verhält es sich jedoch u.a. dann, "wenn die übertragende Gesellschaft wirtschaftlich liquidiert oder in liquide Form gebracht worden ist (Mantelhandel; Art. 5 Abs. 2 Bst. b StG)" (Kreisschreiben Nr. 5, Ziffer 4.1.2.2.4).</w:t>
      </w:r>
    </w:p>
    <w:p>
      <w:r>
        <w:t>Die Vorinstanz ging gleich wie vor ihr die Steuerrekurskommission davon aus, dass die Beschwerdeführerin im Zeitpunkt der Fusion "in liquide Form gebracht worden war" (E. 2, insbesondere E. 2.6 in fine des vorinstanzlichen Entscheids). Allerdings setzt sie sich mit der unter dem 25. Dezember 2004 gegengezeichneten Zustimmung der Eidgenössischen Steuerverwaltung zu einer Anfrage der Beschwerdeführerin vom 30. November 2004 nicht auseinander. Dort verneint die Bundesbehörde ausdrücklich im Lichte der Verrechnungssteuer sowie der Stempelabgaben das Vorliegen eines Mantelhandels. Wohl erwägt die Steuerrekurskommission, dass die ausdrücklich nicht die direkten Steuern betreffende und auf "nur sehr spärliche Angaben" gestützte Beurteilung des Vorgangs durch die Eidgenössische Steuerverwaltung nicht relevant sei. Nachdem aber das Kreisschreiben Nr. 5 in Ziffer 4.1.2.2.4 ausdrücklich auf Art. 5 Abs. 2 StG (d.h. das Bundesgesetz vom 27. Juni 1973 über die Stempelabgaben [SR 641.10]) verweist, kann nicht gesagt werden, die verrechnungssteuer- und stempelabgaberechtliche Beurteilung durch die hierzu zuständige Bundesbehörde sei für die direkte Bundessteuer überhaupt nicht relevant. Dies gilt umso mehr, als das Kreisschreiben Nr. 5 eine einheitliche und damit kohärente Behandlung der diversen Bundessteuern anstrebt (Ziffer 1). Die vierseitige Eingabe der Beschwerdeführerin vom 30. November 2004 an die Eidgenössische Steuerverwaltung schildert die Problematik ausreichend und korrekt. Zudem wurden weitere Dokumente (u.a. Zwischenabschlüsse) in Aussicht gestellt. In ihrer Beschwerde an die Vorinstanz rügte die Beschwerdeführerin die rudimentären Erwägungen der Steuerrekurskommission ausdrücklich, ohne dass auch nur andeutungsweise im vorinstanzlichen Urteil darauf Bezug genommen wird. Nachdem es sich dabei um eine zentrale Frage handelt, verletzt die Vorinstanz mit diesem Vorgehen das rechtliche Gehör der Beschwerdeführerin.</w:t>
      </w:r>
    </w:p>
    <w:p>
      <w:r>
        <w:rPr>
          <w:b/>
        </w:rPr>
        <w:t>E. 2.3.2</w:t>
      </w:r>
    </w:p>
    <w:p>
      <w:r>
        <w:t>Aber auch der zweite Ansatzpunkt für die Rüge einer Verletzung des rechtlichen Gehörs erweist sich als stichhaltig. Die Vorinstanz hat sämtliche Hinweise der Beschwerdeführerin auf effektiv vorhandene, aber nicht bilanzierungsfähige Aktiven sowie auf Umsatzsteigerungen bei der empfangenden Gesellschaft dank dieser immateriellen Werte unter Berufung auf das Novenverbot zurückgewiesen. Allerdings hat die Beschwerdeführerin in ihrer Beschwerdeschrift an die Steuerrekurskommission bereits eingehend darauf Bezug genommen, weshalb von einem Novum nicht die Rede sein kann. Gerade dieser Aspekt ist entscheidend für die Frage, ob es sich bei der fusionierten Gesellschaft effektiv um ein in liquide Form gebrachtes Gebilde handelte oder nicht. Solange die Z.________ AG im Zeitpunkt des Übergangs auf die X.________ AG noch eine - wenn auch nur minimale - Geschäftstätigkeit ausübte, kann noch nicht von einem missbräuchlichen Mantelhandel gesprochen werden (vgl. zu diesem Begriff die Urteile 2C_349/2008 vom 14. November 2008 E. 2.6, in: StR 64, 393 S. 397 f.; 2C_176/2008 vom 26. August 2008 E. 5.1, in: RDAF 64 II, 247 ff.; 2A.107/1999 vom 23. September 1999 E. 4b, in: ASA 69, 898 S. 901). Vielmehr wird in einem solchen Fall die übernommene Gesellschaft "betrieblich bzw. wirtschaftlich" fortgesetzt, so dass die Verlustverrechnung möglich sein muss (Urteil 2A.583/2003 vom 31. Januar 2005 E. 2.2, in: StE 2005 B 72.15.2 Nr. 7).</w:t>
      </w:r>
    </w:p>
    <w:p>
      <w:r>
        <w:rPr>
          <w:b/>
        </w:rPr>
        <w:t>E. 3</w:t>
      </w:r>
    </w:p>
    <w:p>
      <w:r>
        <w:t>Zusammenfassend hat die Vorinstanz im angefochtenen Urteil das rechtliche Gehör der Beschwerdeführerin in mehrfacher Hinsicht verletzt. Die Beschwerde ist daher aus formellen Gründen gutzuheissen und das angefochtene Urteil ist aufzuheben. Die Angelegenheit ist an die Vorinstanz zurückzuweisen zum Neuentscheid im Sinne der Erwägungen.</w:t>
      </w:r>
    </w:p>
    <w:p>
      <w:r>
        <w:rPr>
          <w:b/>
        </w:rPr>
        <w:t>E. 4</w:t>
      </w:r>
    </w:p>
    <w:p>
      <w:r>
        <w:t>Dem Verfahrensausgang entsprechend sind die Kosten des bundesgerichtlichen Verfahrens dem Kanton Zürich, der Vermögensinteressen wahrnimmt, aufzuerlegen (Art. 65 f. BGG). Dieser hat der Beschwerdeführerin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