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2C_798/2022 vom 12. Oktober 2022</w:t>
      </w:r>
    </w:p>
    <w:p>
      <w:r>
        <w:t>Bundesgericht, 2022-10-12, FR</w:t>
      </w:r>
    </w:p>
    <w:p>
      <w:r>
        <w:rPr>
          <w:b/>
        </w:rPr>
        <w:t xml:space="preserve">Quelle: </w:t>
      </w:r>
      <w:r>
        <w:t>https://mcp.opencaselaw.ch/entscheid/bger_2C_798_2022</w:t>
      </w:r>
    </w:p>
    <w:p>
      <w:r>
        <w:t>FR: TF 2C_798/2022 du 12 octobre 2022</w:t>
      </w:r>
    </w:p>
    <w:p>
      <w:r>
        <w:t>IT: TF 2C_798/2022 del 12 ottobre 2022</w:t>
      </w:r>
    </w:p>
    <w:p>
      <w:pPr>
        <w:pStyle w:val="Heading2"/>
      </w:pPr>
      <w:r>
        <w:t>Erwägungen</w:t>
      </w:r>
    </w:p>
    <w:p>
      <w:r>
        <w:rPr>
          <w:b/>
        </w:rPr>
        <w:t>E. 1.1</w:t>
      </w:r>
    </w:p>
    <w:p>
      <w:r>
        <w:t>A.A.________ (né en 1990) et sa compagne, B.A.________ (née en 1981), sont les parents de trois enfants (nés en 2018, 2019 et 2021), qui ont tous vu le jour à Genève. Ils sont tous les cinq originaires de Serbie et dépourvus d'autorisations de séjour valables en Suisse. A.A.________ serait arrivé à Genève le 3 mars 2012.</w:t>
      </w:r>
    </w:p>
    <w:p>
      <w:r>
        <w:t>Le 6 novembre 2019, F.________ SA a adressé à l'Office cantonal de la population et des migrations de la République et canton de Genève (ci-après: OCPM) une demande d'autorisation de séjour pour cas de rigueur en faveur de A.A.________.</w:t>
      </w:r>
    </w:p>
    <w:p>
      <w:r>
        <w:t>Par décision du 21 septembre 2020, l'OCPM a refusé de transmettre le dossier de A.A.________ au Secrétariat d'État aux migrations (SEM) avec un préavis favorable, afin que cette autorité lui délivre une autorisation de séjour pour cas de rigueur et a prononcé son renvoi de Suisse. Le 22 octobre 2020, A.A.________ a recouru devant le Tribunal administratif de première instance de la République et canton de Genève (ci-après: Tribunal administratif de première instance) contre cette décision.</w:t>
      </w:r>
    </w:p>
    <w:p>
      <w:r>
        <w:rPr>
          <w:b/>
        </w:rPr>
        <w:t>E. 1.2</w:t>
      </w:r>
    </w:p>
    <w:p>
      <w:r>
        <w:t>Le 11 février 2021, B.A.________ a également déposé auprès de l'OCPM une demande d'autorisation de séjour pour cas de rigueur au bénéfice d'elle-même et de ses enfants.</w:t>
      </w:r>
    </w:p>
    <w:p>
      <w:r>
        <w:t>Le 11 mars 2021, le Ministère public du canton de Genève a reconnu B.A.________ coupable de séjour illégal et d'exercice d'une activité lucrative sans autorisation et l'a condamnée à une peine pécuniaire de cent jours-amende assortie du sursis.</w:t>
      </w:r>
    </w:p>
    <w:p>
      <w:r>
        <w:t>Par décision du 22 septembre 2021, l'OCPM a refusé de transmettre le dossier de B.A.________ et de ses enfants au SEM avec un préavis favorable, afin que cette autorité lui délivre une autorisation de séjour pour cas de rigueur et a prononcé leur renvoi de Suisse. Le 25 octobre 2021, B.A.________ et ses enfants ont interjeté recours devant le Tribunal administratif de première instance contre cette décision.</w:t>
      </w:r>
    </w:p>
    <w:p>
      <w:r>
        <w:rPr>
          <w:b/>
        </w:rPr>
        <w:t>E. 1.3</w:t>
      </w:r>
    </w:p>
    <w:p>
      <w:r>
        <w:t>Le 31 janvier 2022, le Tribunal administratif de première instance a joint les recours déposés devant lui par A.A.________ et B.A.________, ainsi que ses enfants. Par jugement du 23 mars 2022, il a rejeté les recours.</w:t>
      </w:r>
    </w:p>
    <w:p>
      <w:r>
        <w:t>Par arrêt du 23 août 2022, la Cour de justice de la République et canton de Genève, Chambre administrative, a rejeté le recours formé par A.A.________ et B.A.________, agissant en leur nom et au nom de leurs enfants, contre ce jugement.</w:t>
      </w:r>
    </w:p>
    <w:p>
      <w:r>
        <w:rPr>
          <w:b/>
        </w:rPr>
        <w:t>E. 1.4</w:t>
      </w:r>
    </w:p>
    <w:p>
      <w:r>
        <w:t>Par courrier posté le 3 octobre 2022, A.A.________ et B.A.________, agissant en leur nom et en celui de leurs enfants, interjettent recours contre cet arrêt, en concluant implicitement à son annulation. Par ailleurs, ils requièrent l'effet suspensif.</w:t>
      </w:r>
    </w:p>
    <w:p>
      <w:r>
        <w:rPr>
          <w:b/>
        </w:rPr>
        <w:t>E. 2</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Il en va de même pour les décisions relatives au renvoi ( art. 83 let . c ch. 4 LTF).</w:t>
      </w:r>
    </w:p>
    <w:p>
      <w:r>
        <w:t>En l'espèce, il ressort de l'arrêt entrepris que le litige porte sur l'octroi d'une autorisation de séjour fondée sur l' art. 30 al. 1 let. b LEI (RS 142.20) en lien avec l'art. 31 de l'ordonnance du 24 octobre 2007 relative à l'admission, au séjour et à l'exercice d'une activité lucrative (OASA; RS 142.201). La voie du recours en matière de droit public est fermée, cette disposition contenant des dérogations aux conditions d'admission ( art. 83 let . c ch. 5 LTF; cf. arrêts 2C_584/2022 du 29 juillet 2022 consid. 2; 2C_463/2022 du 24 juin 2022 consid. 3; 2C_621/2020 du 29 juillet 2020 consid. 3.2). En outre, les recourants n'invoquent aucune norme de droit fédéral ou international leur conférant un droit à l'octroi d'une autorisation de séjour en Suisse. Seule reste donc ouverte la voie du recours constitutionnel subsidiaire ( art. 113 ss LTF ).</w:t>
      </w:r>
    </w:p>
    <w:p>
      <w:r>
        <w:rPr>
          <w:b/>
        </w:rPr>
        <w:t>E. 3.1</w:t>
      </w:r>
    </w:p>
    <w:p>
      <w:r>
        <w:t>La qualité pour former un recours constitutionnel subsidiaire suppose toutefois un intérêt juridique à l'annulation ou à la modification de la décision attaquée ( art. 115 let. b LTF ). Les recourants, qui ne peuvent se prévaloir de l' art. 30 LEI , dont la formulation est potestative, n'ont pas une position juridique protégée leur conférant la qualité pour agir au fond sous cet angle ( ATF 133 I 185 ).</w:t>
      </w:r>
    </w:p>
    <w:p>
      <w:r>
        <w:rPr>
          <w:b/>
        </w:rPr>
        <w:t>E. 3.2</w:t>
      </w:r>
    </w:p>
    <w:p>
      <w:r>
        <w:t>Même s'ils n'ont pas qualité pour agir au fond, les recourants peuvent se plaindre par la voie du recours constitutionnel subsidiaire de la violation de leurs droits de partie équivalant à un déni de justice formel (cf. ATF 137 II 305 consid. 2; 129 I 217 consid. 1.4), pour autant qu'il ne s'agisse pas de moyens ne pouvant être séparés du fond (cf. ATF 133 I 185 consid. 6 et les références citées).</w:t>
      </w:r>
    </w:p>
    <w:p>
      <w:r>
        <w:t>En l'espèce, les recourants se plaignent de n'avoir pu s'exprimer oralement. Toutefois, ils n'exposent pas de manière conforme aux exigences de motivation qualifiées prévues à l'art. 106 al. 2 en relation avec l' art. 117 LTF (cf. à ce sujet ATF 142 III 364 consid. 2.4 et les références citées) en quoi l' art. 29 al. 2 Cst. leur garantit le droit d'être entendu oralement, ni démontrent que le droit cantonal garantirait de manière plus large que l' art. 29 al. 2 Cst. un tel droit. En tant qu'ils se contentaient d'affirmer, de manière générale, que leur renvoi en Serbie les plongerait dans une situation contraire à la dignité humaine, le grief est également dépourvu de motivation suffisante au regard de l'art. 106 al. 2 en lien avec l' art. 117 LTF . Il s'ensuit que le recours est également irrecevable en tant que recours constitutionnel subsidiaire.</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les recourants 1 et 2 doivent supporter les frais de la procédure fédérale solidairement entre eux ( art. 66 al. 1 et 5 LTF ). Seuls des frais réduits seront toutefois prélevés.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