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2C_798/2015 vom 26. September 2016</w:t>
      </w:r>
    </w:p>
    <w:p>
      <w:r>
        <w:t>Bundesgericht, 2016-09-26, FR</w:t>
      </w:r>
    </w:p>
    <w:p>
      <w:r>
        <w:rPr>
          <w:b/>
        </w:rPr>
        <w:t xml:space="preserve">Quelle: </w:t>
      </w:r>
      <w:r>
        <w:t>https://mcp.opencaselaw.ch/entscheid/bger_2C_798_2015</w:t>
      </w:r>
    </w:p>
    <w:p>
      <w:r>
        <w:t>FR: TF 2C_798/2015 du 26 septembre 2016</w:t>
      </w:r>
    </w:p>
    <w:p>
      <w:r>
        <w:t>IT: TF 2C_798/2015 del 26 settembre 2016</w:t>
      </w:r>
    </w:p>
    <w:p>
      <w:pPr>
        <w:pStyle w:val="Heading2"/>
      </w:pPr>
      <w:r>
        <w:t>Erwägungen</w:t>
      </w:r>
    </w:p>
    <w:p>
      <w:r>
        <w:rPr>
          <w:b/>
        </w:rPr>
        <w:t>E. 1.1</w:t>
      </w:r>
    </w:p>
    <w:p>
      <w:r>
        <w:t>L'instance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La recourante était par conséquent autorisée à formuler, dans son recours au Tribunal fédéral, les mêmes griefs et à prendre des conclusions valant pour les deux catégories d'impôt ( ATF 135 II 260 consid. 1.3.2 p. 263 s.).</w:t>
      </w:r>
    </w:p>
    <w:p>
      <w:r>
        <w:rPr>
          <w:b/>
        </w:rPr>
        <w:t>E. 1.2</w:t>
      </w:r>
    </w:p>
    <w:p>
      <w:r>
        <w:t>Par souci d'unification par rapport à d'autres cantons dans lesquels deux décisions sont rendues lorsque l'impôt fédéral direct et l'impôt cantonal et communal sont en jeu, la Cour de céans a toutefois ouvert deux dossiers (causes 2C_798/2015 et 2C_799/2015). Comme l'état de fait est identique et que les questions juridiques se recoupent, les causes seront néanmoins jointes et il sera statué dans un seul arrêt ( art. 71 LTF et 24 de la loi de procédure civile fédérale du 4 décembre 1947; RS 273).</w:t>
      </w:r>
    </w:p>
    <w:p>
      <w:r>
        <w:rPr>
          <w:b/>
        </w:rPr>
        <w:t>E. 1.3</w:t>
      </w:r>
    </w:p>
    <w:p>
      <w:r>
        <w:t>Le litige porte sur la question de savoir si le montant de 500'000 fr. constituait une charge non justifiée par l'usage commercial dans le chapitre fiscal 2006 de B.X.________ SA, ce que A.X.________ SA peut contester en dernier lieu devant le Tribunal fédéral, puisqu'elle a absorbée la première par contrat de fusion du 25 novembre 2013 et a repris par transfert</w:t>
      </w:r>
    </w:p>
    <w:p>
      <w:r>
        <w:t>ex lege les actifs et passifs de celle-ci (art. 22 al. 1 de la loi fédérale du 3 octobre 2003 sur la fusion, la scission, la transformation et le transfert de patrimoine [Loi sur la fusion, LFus; RS 221.301]). A.X.________ SA, qui a participé à la procédure antérieure et a un intérêt digne de protection à l'annulation de la décision attaquée, a par conséquent la qualité pour recourir ( art. 89 al. 1 LTF ).</w:t>
      </w:r>
    </w:p>
    <w:p>
      <w:r>
        <w:t>I.       Impôt fédéral direct</w:t>
      </w:r>
    </w:p>
    <w:p>
      <w:r>
        <w:rPr>
          <w:b/>
        </w:rPr>
        <w:t>E. 2.1</w:t>
      </w:r>
    </w:p>
    <w:p>
      <w:r>
        <w:t>Aux termes de l'art. 57 de la loi fédérale du 14 décembre 1990 sur l'impôt fédéral direct (LIFD; RS 642.11),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 4.1 p. 92 s.; 138 II 57 consid. 2.2 p. 59 s.; 131 II 593 consid. 5.1 p. 607; 119 Ib 116 consid. 2 p. 119; arrêt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 3.2 p. 549; 138 II 57 consid. 2.2 p. 60 et les références citées, in RDAF 2012 II p. 299; arrêt 2C_644/2013 du 21 octobre 2013 consid. 3.1).</w:t>
      </w:r>
    </w:p>
    <w:p>
      <w:r>
        <w:rPr>
          <w:b/>
        </w:rPr>
        <w:t>E. 2.2</w:t>
      </w:r>
    </w:p>
    <w:p>
      <w:r>
        <w:t>En l'espèce, l'instance précédente a constaté le fait, qui lie le Tribunal fédéral ( art. 105 al. 1 LTF ), que le loyer payé entre les sociétés en cause était conforme au marché et qu'il ne justifiait aucun complément, contrairement à ce qu'affirmait B.X.________ SA devant elle. Par conséquent, en versant 500'000 fr. de plus comme charge de locaux, ce qui dépassait le loyer du marché, B.X.________ SA a accordé un avantage appréciable en argent à A.X.________ SA. Elle était en effet un proche de son actionnaire, puisque les sociétés en cause étaient soeurs et l'avantage n'était en outre pas justifié par l'usage commercial, puisqu'au vu des faits établis par l'instance précédente, l'octroi de cette prestation ne se justifiait que par les liens d'actionnariat qui unissaient les deux sociétés. Du point de vue fiscal, la conséquence pour la société accordant la prestation est que la charge comptabilisée en relation avec l'opération est ajoutée à son bénéfice imposable en tant que prestation appréciable en argent, comme l'a jugé à bon droit l'instance précédente.</w:t>
      </w:r>
    </w:p>
    <w:p>
      <w:r>
        <w:rPr>
          <w:b/>
        </w:rPr>
        <w:t>E. 2.3</w:t>
      </w:r>
    </w:p>
    <w:p>
      <w:r>
        <w:t>La recourante reproche en vain à l'instance précédente d'avoir violé l' art. 58 LIFD , en n'examinant pas et, par conséquent, en omettant "de démontrer qu'au moment de la naissance de la créance en question, l'actionnaire créancier agissait en sa qualité d'actionnaire et non comme un tiers indépendant". L' art. 58 LIFD exigeait d'elle "qu'elle démontre qu'au moment de la naissance de la créance en question et non lors de son abandon, l'actionnaire étranger avait agi ès qualité". Cette critique concerne un autre cas de figure que celui qui est en cause en l'espèce. La recourante perd en effet de vue qu'en tant que sociétés soeurs, aucune des sociétés en cause n'était l'actionnaire l'une de l'autre au moment de la prestation appréciable en argent.</w:t>
      </w:r>
    </w:p>
    <w:p>
      <w:r>
        <w:t>II.       Impôt cantonal et communal</w:t>
      </w:r>
    </w:p>
    <w:p>
      <w:r>
        <w:rPr>
          <w:b/>
        </w:rPr>
        <w:t>E. 3</w:t>
      </w:r>
    </w:p>
    <w:p>
      <w:r>
        <w:t>L'instance précédente a appliqué l'art. 81 al. 1 let. a et b de de la loi fiscale valaisanne du 10 mars 1976 (RSVS 642.1), dont le contenu est identique à celui de l' art. 58 LIFD sur la question en cause en l'espèce, de sorte qu'il peut être renvoyé, s'agissant de l'impôt cantonal et communal, à la motivation développée en matière d'impôt fédéral direct.</w:t>
      </w:r>
    </w:p>
    <w:p>
      <w:r>
        <w:rPr>
          <w:b/>
        </w:rPr>
        <w:t>E. 4</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