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2C_798/2013 vom 12. September 2013</w:t>
      </w:r>
    </w:p>
    <w:p>
      <w:r>
        <w:t>Bundesgericht, 2013-09-12, DE</w:t>
      </w:r>
    </w:p>
    <w:p>
      <w:r>
        <w:rPr>
          <w:b/>
        </w:rPr>
        <w:t xml:space="preserve">Quelle: </w:t>
      </w:r>
      <w:r>
        <w:t>https://mcp.opencaselaw.ch/entscheid/bger_2C_798_2013</w:t>
      </w:r>
    </w:p>
    <w:p>
      <w:r>
        <w:t>FR: TF 2C_798/2013 du 12 septembre 2013</w:t>
      </w:r>
    </w:p>
    <w:p>
      <w:r>
        <w:t>IT: TF 2C_798/2013 del 12 settembre 2013</w:t>
      </w:r>
    </w:p>
    <w:p>
      <w:pPr>
        <w:pStyle w:val="Heading2"/>
      </w:pPr>
      <w:r>
        <w:t>Erwägungen</w:t>
      </w:r>
    </w:p>
    <w:p>
      <w:r>
        <w:rPr>
          <w:b/>
        </w:rPr>
        <w:t>E. 1</w:t>
      </w:r>
    </w:p>
    <w:p>
      <w:r>
        <w:t>Mit Urteil vom 26. Juli 2013 trat das Verwaltungsgericht des Kantons Zug auf eine Beschwerde der X.________ AG in Liquidation nicht ein, wogegen diese am 9. September 2013 mit zahlreichen Anträgen und (teilweise kaum verständlichen) Ausführungen an das Bundesgericht gelangte.</w:t>
      </w:r>
    </w:p>
    <w:p>
      <w:r>
        <w:rPr>
          <w:b/>
        </w:rPr>
        <w:t>E. 2.1</w:t>
      </w:r>
    </w:p>
    <w:p>
      <w:r>
        <w:t>Gemäss Art. 42 Abs. 1 und 2 BGG haben Rechtsschriften an das Bundesgericht die Begehren und deren Begründung zu enthalten. Es ist darin in gedrängter Form sachbezogen darzutun, inwiefern der angefochtene Akt Recht verletzt. Nicht unmittelbar gerügt werden kann die Missachtung von kantonalem Gesetzesrecht, sondern allein die Verletzung von Bundesrecht ( Art. 95 BGG ). Beruht ein Entscheid auf kantonalem Recht, kann im Wesentlichen bloss geltend gemacht werden, dessen Anwendung verstosse gegen verfassungsmässige Rechte, wobei die entsprechenden Rügen qualifiziert zu begründen sind ( Art. 106 Abs. 2 BGG ; BGE 135 III 513 E. 4.3 S. 521 f. ; 134 I 153 E. 4.2.2 S. 158; 134 II 349 E. 3 S. 351 f.; 133 III 462 E. 2.3 S. 466). Die Beschwerdeführer müssen in ihrer Eingabe an das Bundesgericht dartun,</w:t>
      </w:r>
    </w:p>
    <w:p>
      <w:r>
        <w:t>welche verfassungsmässigen Rechte durch den angefochtenen Akt</w:t>
      </w:r>
    </w:p>
    <w:p>
      <w:r>
        <w:t>inwiefern verletzt worden sein sollen.</w:t>
      </w:r>
    </w:p>
    <w:p>
      <w:r>
        <w:rPr>
          <w:b/>
        </w:rPr>
        <w:t>E. 2.2</w:t>
      </w:r>
    </w:p>
    <w:p>
      <w:r>
        <w:t>Die vorliegende Eingabe genügt diesen Anforderungen nicht: Die Beschwerdeführerin legt - soweit sie sich überhaupt mit dem einzig Verfahrensgegenstand bildenden Nichteintretensentscheid auseinandersetzt - nicht sachbezogen dar, inwiefern dieser Bundes (verfassungs) recht verletzen würde. Auf die Eingabe ist mangels rechtsgenügender Begründung nicht einzutreten. Dies kann praxisgemäss ohne Weiterungen durch den Präsidenten als Einzelrichter im Verfahren nach Art. 108 BGG geschehen.</w:t>
      </w:r>
    </w:p>
    <w:p>
      <w:r>
        <w:rPr>
          <w:b/>
        </w:rPr>
        <w:t>E. 3</w:t>
      </w:r>
    </w:p>
    <w:p>
      <w:r>
        <w:t>Es rechtfertigt sich, keine Kosten zu erheben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