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796/2020 vom 25. September 2020</w:t>
      </w:r>
    </w:p>
    <w:p>
      <w:r>
        <w:t>Bundesgericht, 2020-09-25, FR</w:t>
      </w:r>
    </w:p>
    <w:p>
      <w:r>
        <w:rPr>
          <w:b/>
        </w:rPr>
        <w:t xml:space="preserve">Quelle: </w:t>
      </w:r>
      <w:r>
        <w:t>https://mcp.opencaselaw.ch/entscheid/bger_2C_796_2020</w:t>
      </w:r>
    </w:p>
    <w:p>
      <w:r>
        <w:t>FR: TF 2C 796/2020 du 25 septembre 2020</w:t>
      </w:r>
    </w:p>
    <w:p>
      <w:r>
        <w:t>IT: TF 2C 796/2020 del 25 settembre 2020</w:t>
      </w:r>
    </w:p>
    <w:p>
      <w:pPr>
        <w:pStyle w:val="Heading2"/>
      </w:pPr>
      <w:r>
        <w:t>Regeste</w:t>
      </w:r>
    </w:p>
    <w:p>
      <w:r>
        <w:t>Reconsidération d'une décision en matière de droit des étrangers; restitution de délai | Droit de cité et droit des étrangers</w:t>
      </w:r>
    </w:p>
    <w:p>
      <w:pPr>
        <w:pStyle w:val="Heading2"/>
      </w:pPr>
      <w:r>
        <w:t>Erwägungen</w:t>
      </w:r>
    </w:p>
    <w:p>
      <w:r>
        <w:rPr>
          <w:b/>
        </w:rPr>
        <w:t>E. 1</w:t>
      </w:r>
    </w:p>
    <w:p>
      <w:r>
        <w:t>Par arrêt du 26 août 2020, la Cour de droit administratif et public du Tribunal cantonal du canton de Vaud (ci-après: le Tribunal cantonal) a déclaré irrecevable un recours que A.________ avait interjeté à l'encontre d'une décision du Service de la population du canton de Vaud du 17 juin 2020, faute de s'être acquitté de l'avance de frais dans les délais.</w:t>
      </w:r>
    </w:p>
    <w:p>
      <w:r>
        <w:rPr>
          <w:b/>
        </w:rPr>
        <w:t>E. 2</w:t>
      </w:r>
    </w:p>
    <w:p>
      <w:r>
        <w:t>Agissant par la voie du recours en matière de droit public, A.________ demande au Tribunal fédéral, sous suite de frais et dépens, d'annuler l'arrêt du Tribunal cantonal du 26 août 2020 et de renvoyer la cause à celui-ci pour qu'il restitue le délai pour acquitter l'avance de frais.</w:t>
      </w:r>
    </w:p>
    <w:p>
      <w:r>
        <w:rPr>
          <w:b/>
        </w:rPr>
        <w:t>E. 3</w:t>
      </w:r>
    </w:p>
    <w:p>
      <w:r>
        <w:t>Sauf exceptions (cf. art. 95 let . c, d et e LTF), la violation du droit cantonal, y compris du droit cantonal de procédure relatif aux délais de recours et à leur restitution, ne constitue pas un motif de recours au Tribunal fédéral ( art. 95 LTF a contrario ).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ce que le recourant n'a pas respecté, puisqu'en plus de s'être fondé sur des faits qui ne ressortaient pas de l'arrêt entrepris (cf. art. 105 al. 1 LTF ), il n'a pas expliqué en quoi le droit cantonal de procédure aurait été appliqué de manière arbitraire ou contraire à d'autres droits constitutionnels.</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